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309E" w14:textId="12CDB29D" w:rsidR="00973019" w:rsidRPr="005701D3" w:rsidRDefault="00973019" w:rsidP="00A860BD">
      <w:pPr>
        <w:widowControl w:val="0"/>
        <w:spacing w:line="28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701D3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>R</w:t>
      </w:r>
      <w:r w:rsidRPr="005701D3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>a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>pp</w:t>
      </w:r>
      <w:r w:rsidRPr="005701D3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>o</w:t>
      </w:r>
      <w:r w:rsidRPr="005701D3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r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to </w:t>
      </w:r>
      <w:r w:rsidRPr="005701D3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>s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>u</w:t>
      </w:r>
      <w:r w:rsidRPr="005701D3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>ll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>o s</w:t>
      </w:r>
      <w:r w:rsidRPr="005701D3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t</w:t>
      </w:r>
      <w:r w:rsidRPr="005701D3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>a</w:t>
      </w:r>
      <w:r w:rsidRPr="005701D3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t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>o del</w:t>
      </w:r>
      <w:r w:rsidRPr="005701D3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>l</w:t>
      </w:r>
      <w:r w:rsidRPr="005701D3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’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>ed</w:t>
      </w:r>
      <w:r w:rsidRPr="005701D3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>i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>t</w:t>
      </w:r>
      <w:r w:rsidRPr="005701D3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>o</w:t>
      </w:r>
      <w:r w:rsidRPr="005701D3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r</w:t>
      </w:r>
      <w:r w:rsidRPr="005701D3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>i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a in </w:t>
      </w:r>
      <w:r w:rsidRPr="005701D3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>I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>t</w:t>
      </w:r>
      <w:r w:rsidRPr="005701D3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>ali</w:t>
      </w:r>
      <w:r w:rsidRPr="005701D3">
        <w:rPr>
          <w:rFonts w:ascii="Times New Roman" w:hAnsi="Times New Roman"/>
          <w:b/>
          <w:bCs/>
          <w:sz w:val="28"/>
          <w:szCs w:val="28"/>
          <w:lang w:eastAsia="en-US"/>
        </w:rPr>
        <w:t>a</w:t>
      </w:r>
    </w:p>
    <w:p w14:paraId="44FF7982" w14:textId="6A6C9397" w:rsidR="00216F7A" w:rsidRDefault="00216F7A" w:rsidP="00973019">
      <w:pPr>
        <w:widowControl w:val="0"/>
        <w:spacing w:line="280" w:lineRule="exact"/>
        <w:jc w:val="center"/>
        <w:rPr>
          <w:rFonts w:ascii="Times New Roman" w:hAnsi="Times New Roman"/>
          <w:b/>
          <w:bCs/>
          <w:spacing w:val="-1"/>
          <w:sz w:val="23"/>
          <w:szCs w:val="23"/>
          <w:lang w:eastAsia="en-US"/>
        </w:rPr>
      </w:pPr>
      <w:r w:rsidRPr="00216F7A">
        <w:rPr>
          <w:rFonts w:ascii="Times New Roman" w:hAnsi="Times New Roman"/>
          <w:b/>
          <w:bCs/>
          <w:spacing w:val="-1"/>
          <w:sz w:val="23"/>
          <w:szCs w:val="23"/>
          <w:lang w:eastAsia="en-US"/>
        </w:rPr>
        <w:t>Consolidato 202</w:t>
      </w:r>
      <w:r w:rsidR="00CF4B47">
        <w:rPr>
          <w:rFonts w:ascii="Times New Roman" w:hAnsi="Times New Roman"/>
          <w:b/>
          <w:bCs/>
          <w:spacing w:val="-1"/>
          <w:sz w:val="23"/>
          <w:szCs w:val="23"/>
          <w:lang w:eastAsia="en-US"/>
        </w:rPr>
        <w:t>3</w:t>
      </w:r>
      <w:r w:rsidRPr="00216F7A">
        <w:rPr>
          <w:rFonts w:ascii="Times New Roman" w:hAnsi="Times New Roman"/>
          <w:b/>
          <w:bCs/>
          <w:spacing w:val="-1"/>
          <w:sz w:val="23"/>
          <w:szCs w:val="23"/>
          <w:lang w:eastAsia="en-US"/>
        </w:rPr>
        <w:t xml:space="preserve"> </w:t>
      </w:r>
      <w:r w:rsidR="00B82B2E">
        <w:rPr>
          <w:rFonts w:ascii="Times New Roman" w:hAnsi="Times New Roman"/>
          <w:b/>
          <w:bCs/>
          <w:spacing w:val="-1"/>
          <w:sz w:val="23"/>
          <w:szCs w:val="23"/>
          <w:lang w:eastAsia="en-US"/>
        </w:rPr>
        <w:t xml:space="preserve">e </w:t>
      </w:r>
      <w:r w:rsidRPr="001D23FF">
        <w:rPr>
          <w:rFonts w:ascii="Times New Roman" w:hAnsi="Times New Roman"/>
          <w:b/>
          <w:bCs/>
          <w:color w:val="000000" w:themeColor="text1"/>
          <w:spacing w:val="-1"/>
          <w:sz w:val="23"/>
          <w:szCs w:val="23"/>
          <w:lang w:eastAsia="en-US"/>
        </w:rPr>
        <w:t xml:space="preserve">primi </w:t>
      </w:r>
      <w:r w:rsidR="00CF4B47">
        <w:rPr>
          <w:rFonts w:ascii="Times New Roman" w:hAnsi="Times New Roman"/>
          <w:b/>
          <w:bCs/>
          <w:color w:val="000000" w:themeColor="text1"/>
          <w:spacing w:val="-1"/>
          <w:sz w:val="23"/>
          <w:szCs w:val="23"/>
          <w:lang w:eastAsia="en-US"/>
        </w:rPr>
        <w:t>sei</w:t>
      </w:r>
      <w:r w:rsidRPr="001D23FF">
        <w:rPr>
          <w:rFonts w:ascii="Times New Roman" w:hAnsi="Times New Roman"/>
          <w:b/>
          <w:bCs/>
          <w:color w:val="000000" w:themeColor="text1"/>
          <w:spacing w:val="-1"/>
          <w:sz w:val="23"/>
          <w:szCs w:val="23"/>
          <w:lang w:eastAsia="en-US"/>
        </w:rPr>
        <w:t xml:space="preserve"> mesi 202</w:t>
      </w:r>
      <w:r w:rsidR="00CF4B47">
        <w:rPr>
          <w:rFonts w:ascii="Times New Roman" w:hAnsi="Times New Roman"/>
          <w:b/>
          <w:bCs/>
          <w:color w:val="000000" w:themeColor="text1"/>
          <w:spacing w:val="-1"/>
          <w:sz w:val="23"/>
          <w:szCs w:val="23"/>
          <w:lang w:eastAsia="en-US"/>
        </w:rPr>
        <w:t>4</w:t>
      </w:r>
      <w:r w:rsidR="00840BC2">
        <w:rPr>
          <w:rFonts w:ascii="Times New Roman" w:hAnsi="Times New Roman"/>
          <w:b/>
          <w:bCs/>
          <w:color w:val="000000" w:themeColor="text1"/>
          <w:spacing w:val="-1"/>
          <w:sz w:val="23"/>
          <w:szCs w:val="23"/>
          <w:lang w:eastAsia="en-US"/>
        </w:rPr>
        <w:t xml:space="preserve"> mercato trade</w:t>
      </w:r>
    </w:p>
    <w:p w14:paraId="6B0DB60F" w14:textId="4CB86513" w:rsidR="00973019" w:rsidRPr="005701D3" w:rsidRDefault="00973019" w:rsidP="00973019">
      <w:pPr>
        <w:widowControl w:val="0"/>
        <w:spacing w:line="280" w:lineRule="exact"/>
        <w:jc w:val="center"/>
        <w:rPr>
          <w:rFonts w:ascii="Times New Roman" w:hAnsi="Times New Roman"/>
          <w:b/>
          <w:i/>
          <w:spacing w:val="1"/>
          <w:sz w:val="28"/>
          <w:szCs w:val="28"/>
          <w:lang w:eastAsia="en-US"/>
        </w:rPr>
      </w:pPr>
      <w:r w:rsidRPr="005701D3">
        <w:rPr>
          <w:rFonts w:ascii="Times New Roman" w:hAnsi="Times New Roman"/>
          <w:sz w:val="22"/>
          <w:szCs w:val="23"/>
          <w:lang w:eastAsia="en-US"/>
        </w:rPr>
        <w:t>a</w:t>
      </w:r>
      <w:r w:rsidRPr="005701D3">
        <w:rPr>
          <w:rFonts w:ascii="Times New Roman" w:hAnsi="Times New Roman"/>
          <w:spacing w:val="1"/>
          <w:sz w:val="22"/>
          <w:szCs w:val="23"/>
          <w:lang w:eastAsia="en-US"/>
        </w:rPr>
        <w:t xml:space="preserve"> c</w:t>
      </w:r>
      <w:r w:rsidRPr="005701D3">
        <w:rPr>
          <w:rFonts w:ascii="Times New Roman" w:hAnsi="Times New Roman"/>
          <w:sz w:val="22"/>
          <w:szCs w:val="23"/>
          <w:lang w:eastAsia="en-US"/>
        </w:rPr>
        <w:t>u</w:t>
      </w:r>
      <w:r w:rsidRPr="005701D3">
        <w:rPr>
          <w:rFonts w:ascii="Times New Roman" w:hAnsi="Times New Roman"/>
          <w:spacing w:val="-2"/>
          <w:sz w:val="22"/>
          <w:szCs w:val="23"/>
          <w:lang w:eastAsia="en-US"/>
        </w:rPr>
        <w:t>r</w:t>
      </w:r>
      <w:r w:rsidRPr="005701D3">
        <w:rPr>
          <w:rFonts w:ascii="Times New Roman" w:hAnsi="Times New Roman"/>
          <w:sz w:val="22"/>
          <w:szCs w:val="23"/>
          <w:lang w:eastAsia="en-US"/>
        </w:rPr>
        <w:t>a d</w:t>
      </w:r>
      <w:r w:rsidRPr="005701D3">
        <w:rPr>
          <w:rFonts w:ascii="Times New Roman" w:hAnsi="Times New Roman"/>
          <w:spacing w:val="-2"/>
          <w:sz w:val="22"/>
          <w:szCs w:val="23"/>
          <w:lang w:eastAsia="en-US"/>
        </w:rPr>
        <w:t>e</w:t>
      </w:r>
      <w:r w:rsidRPr="005701D3">
        <w:rPr>
          <w:rFonts w:ascii="Times New Roman" w:hAnsi="Times New Roman"/>
          <w:sz w:val="22"/>
          <w:szCs w:val="23"/>
          <w:lang w:eastAsia="en-US"/>
        </w:rPr>
        <w:t>ll’U</w:t>
      </w:r>
      <w:r w:rsidRPr="005701D3">
        <w:rPr>
          <w:rFonts w:ascii="Times New Roman" w:hAnsi="Times New Roman"/>
          <w:spacing w:val="-3"/>
          <w:sz w:val="22"/>
          <w:szCs w:val="23"/>
          <w:lang w:eastAsia="en-US"/>
        </w:rPr>
        <w:t>f</w:t>
      </w:r>
      <w:r w:rsidRPr="005701D3">
        <w:rPr>
          <w:rFonts w:ascii="Times New Roman" w:hAnsi="Times New Roman"/>
          <w:spacing w:val="-2"/>
          <w:sz w:val="22"/>
          <w:szCs w:val="23"/>
          <w:lang w:eastAsia="en-US"/>
        </w:rPr>
        <w:t>f</w:t>
      </w:r>
      <w:r w:rsidRPr="005701D3">
        <w:rPr>
          <w:rFonts w:ascii="Times New Roman" w:hAnsi="Times New Roman"/>
          <w:sz w:val="22"/>
          <w:szCs w:val="23"/>
          <w:lang w:eastAsia="en-US"/>
        </w:rPr>
        <w:t>i</w:t>
      </w:r>
      <w:r w:rsidRPr="005701D3">
        <w:rPr>
          <w:rFonts w:ascii="Times New Roman" w:hAnsi="Times New Roman"/>
          <w:spacing w:val="1"/>
          <w:sz w:val="22"/>
          <w:szCs w:val="23"/>
          <w:lang w:eastAsia="en-US"/>
        </w:rPr>
        <w:t>c</w:t>
      </w:r>
      <w:r w:rsidRPr="005701D3">
        <w:rPr>
          <w:rFonts w:ascii="Times New Roman" w:hAnsi="Times New Roman"/>
          <w:sz w:val="22"/>
          <w:szCs w:val="23"/>
          <w:lang w:eastAsia="en-US"/>
        </w:rPr>
        <w:t xml:space="preserve">io </w:t>
      </w:r>
      <w:r w:rsidRPr="005701D3">
        <w:rPr>
          <w:rFonts w:ascii="Times New Roman" w:hAnsi="Times New Roman"/>
          <w:spacing w:val="-1"/>
          <w:sz w:val="22"/>
          <w:szCs w:val="23"/>
          <w:lang w:eastAsia="en-US"/>
        </w:rPr>
        <w:t>s</w:t>
      </w:r>
      <w:r w:rsidRPr="005701D3">
        <w:rPr>
          <w:rFonts w:ascii="Times New Roman" w:hAnsi="Times New Roman"/>
          <w:sz w:val="22"/>
          <w:szCs w:val="23"/>
          <w:lang w:eastAsia="en-US"/>
        </w:rPr>
        <w:t xml:space="preserve">tudi </w:t>
      </w:r>
      <w:r w:rsidRPr="005701D3">
        <w:rPr>
          <w:rFonts w:ascii="Times New Roman" w:hAnsi="Times New Roman"/>
          <w:spacing w:val="-3"/>
          <w:sz w:val="22"/>
          <w:szCs w:val="23"/>
          <w:lang w:eastAsia="en-US"/>
        </w:rPr>
        <w:t>A</w:t>
      </w:r>
      <w:r w:rsidRPr="005701D3">
        <w:rPr>
          <w:rFonts w:ascii="Times New Roman" w:hAnsi="Times New Roman"/>
          <w:spacing w:val="-2"/>
          <w:sz w:val="22"/>
          <w:szCs w:val="23"/>
          <w:lang w:eastAsia="en-US"/>
        </w:rPr>
        <w:t>I</w:t>
      </w:r>
      <w:r w:rsidRPr="005701D3">
        <w:rPr>
          <w:rFonts w:ascii="Times New Roman" w:hAnsi="Times New Roman"/>
          <w:sz w:val="22"/>
          <w:szCs w:val="23"/>
          <w:lang w:eastAsia="en-US"/>
        </w:rPr>
        <w:t>E</w:t>
      </w:r>
    </w:p>
    <w:p w14:paraId="76D8E987" w14:textId="77777777" w:rsidR="00535E6D" w:rsidRDefault="00535E6D" w:rsidP="00973019">
      <w:pPr>
        <w:widowControl w:val="0"/>
        <w:spacing w:line="280" w:lineRule="exact"/>
        <w:jc w:val="center"/>
        <w:rPr>
          <w:rFonts w:ascii="Times New Roman" w:hAnsi="Times New Roman"/>
          <w:b/>
          <w:i/>
          <w:spacing w:val="1"/>
          <w:sz w:val="22"/>
          <w:szCs w:val="28"/>
          <w:lang w:eastAsia="en-US"/>
        </w:rPr>
      </w:pPr>
    </w:p>
    <w:p w14:paraId="7ACA55BE" w14:textId="3BC56B8F" w:rsidR="006224DC" w:rsidRPr="00B539EA" w:rsidRDefault="00973019" w:rsidP="000C235E">
      <w:pPr>
        <w:widowControl w:val="0"/>
        <w:spacing w:line="280" w:lineRule="exact"/>
        <w:ind w:left="-142" w:right="-14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539EA">
        <w:rPr>
          <w:rFonts w:ascii="Times New Roman" w:hAnsi="Times New Roman"/>
          <w:b/>
          <w:i/>
          <w:spacing w:val="1"/>
          <w:sz w:val="24"/>
          <w:szCs w:val="24"/>
          <w:lang w:eastAsia="en-US"/>
        </w:rPr>
        <w:t>Si</w:t>
      </w:r>
      <w:r w:rsidRPr="00B539EA">
        <w:rPr>
          <w:rFonts w:ascii="Times New Roman" w:hAnsi="Times New Roman"/>
          <w:b/>
          <w:i/>
          <w:spacing w:val="-2"/>
          <w:sz w:val="24"/>
          <w:szCs w:val="24"/>
          <w:lang w:eastAsia="en-US"/>
        </w:rPr>
        <w:t>n</w:t>
      </w:r>
      <w:r w:rsidRPr="00B539EA">
        <w:rPr>
          <w:rFonts w:ascii="Times New Roman" w:hAnsi="Times New Roman"/>
          <w:b/>
          <w:i/>
          <w:spacing w:val="1"/>
          <w:sz w:val="24"/>
          <w:szCs w:val="24"/>
          <w:lang w:eastAsia="en-US"/>
        </w:rPr>
        <w:t>t</w:t>
      </w:r>
      <w:r w:rsidRPr="00B539EA">
        <w:rPr>
          <w:rFonts w:ascii="Times New Roman" w:hAnsi="Times New Roman"/>
          <w:b/>
          <w:i/>
          <w:sz w:val="24"/>
          <w:szCs w:val="24"/>
          <w:lang w:eastAsia="en-US"/>
        </w:rPr>
        <w:t>e</w:t>
      </w:r>
      <w:r w:rsidRPr="00B539EA">
        <w:rPr>
          <w:rFonts w:ascii="Times New Roman" w:hAnsi="Times New Roman"/>
          <w:b/>
          <w:i/>
          <w:spacing w:val="-2"/>
          <w:sz w:val="24"/>
          <w:szCs w:val="24"/>
          <w:lang w:eastAsia="en-US"/>
        </w:rPr>
        <w:t>s</w:t>
      </w:r>
      <w:r w:rsidRPr="00B539EA">
        <w:rPr>
          <w:rFonts w:ascii="Times New Roman" w:hAnsi="Times New Roman"/>
          <w:b/>
          <w:i/>
          <w:sz w:val="24"/>
          <w:szCs w:val="24"/>
          <w:lang w:eastAsia="en-US"/>
        </w:rPr>
        <w:t>i</w:t>
      </w:r>
    </w:p>
    <w:p w14:paraId="5E2548F3" w14:textId="5BA7FE58" w:rsidR="00FA36CD" w:rsidRPr="00FA36CD" w:rsidRDefault="004E45E6" w:rsidP="000C235E">
      <w:pPr>
        <w:ind w:left="-142" w:right="-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9EA">
        <w:rPr>
          <w:rFonts w:ascii="Times New Roman" w:hAnsi="Times New Roman"/>
          <w:sz w:val="24"/>
          <w:szCs w:val="24"/>
        </w:rPr>
        <w:t xml:space="preserve">L’editoria italiana si conferma prima industria culturale del Paese con un giro d’affari (valore del venduto) pari a </w:t>
      </w:r>
      <w:r w:rsidR="00B539EA" w:rsidRPr="00B539EA">
        <w:rPr>
          <w:rFonts w:ascii="Times New Roman" w:hAnsi="Times New Roman"/>
          <w:sz w:val="24"/>
          <w:szCs w:val="24"/>
        </w:rPr>
        <w:t>3</w:t>
      </w:r>
      <w:r w:rsidR="00935F47">
        <w:rPr>
          <w:rFonts w:ascii="Times New Roman" w:hAnsi="Times New Roman"/>
          <w:sz w:val="24"/>
          <w:szCs w:val="24"/>
        </w:rPr>
        <w:t>,</w:t>
      </w:r>
      <w:r w:rsidR="00B539EA" w:rsidRPr="00B539EA">
        <w:rPr>
          <w:rFonts w:ascii="Times New Roman" w:hAnsi="Times New Roman"/>
          <w:sz w:val="24"/>
          <w:szCs w:val="24"/>
        </w:rPr>
        <w:t>439 miliardi di euro, stabile rispetto all’anno precedente (+1,1%)</w:t>
      </w:r>
      <w:r w:rsidR="008E66FA">
        <w:rPr>
          <w:rFonts w:ascii="Times New Roman" w:hAnsi="Times New Roman"/>
          <w:sz w:val="24"/>
          <w:szCs w:val="24"/>
        </w:rPr>
        <w:t>.</w:t>
      </w:r>
      <w:r w:rsidR="00FA36CD">
        <w:rPr>
          <w:rFonts w:ascii="Times New Roman" w:hAnsi="Times New Roman"/>
          <w:sz w:val="24"/>
          <w:szCs w:val="24"/>
        </w:rPr>
        <w:t xml:space="preserve"> Sono compresi in questi numeri il mercato trade (1,9 miliardi), la scolastica, l’editoria professionale e universitaria, l’export, le vendite alle biblioteche.</w:t>
      </w:r>
      <w:r w:rsidR="008E66FA">
        <w:rPr>
          <w:rFonts w:ascii="Times New Roman" w:hAnsi="Times New Roman"/>
          <w:sz w:val="24"/>
          <w:szCs w:val="24"/>
        </w:rPr>
        <w:t xml:space="preserve"> I numeri dei primi sei mesi del 2024 </w:t>
      </w:r>
      <w:r w:rsidR="00A83500">
        <w:rPr>
          <w:rFonts w:ascii="Times New Roman" w:hAnsi="Times New Roman"/>
          <w:sz w:val="24"/>
          <w:szCs w:val="24"/>
        </w:rPr>
        <w:t xml:space="preserve">riferiti </w:t>
      </w:r>
      <w:r w:rsidR="00444EB7">
        <w:rPr>
          <w:rFonts w:ascii="Times New Roman" w:hAnsi="Times New Roman"/>
          <w:sz w:val="24"/>
          <w:szCs w:val="24"/>
        </w:rPr>
        <w:t xml:space="preserve">invece </w:t>
      </w:r>
      <w:r w:rsidR="00A83500">
        <w:rPr>
          <w:rFonts w:ascii="Times New Roman" w:hAnsi="Times New Roman"/>
          <w:sz w:val="24"/>
          <w:szCs w:val="24"/>
        </w:rPr>
        <w:t xml:space="preserve">al solo mercato trade </w:t>
      </w:r>
      <w:r w:rsidR="00A83500" w:rsidRPr="00B539EA">
        <w:rPr>
          <w:rFonts w:ascii="Times New Roman" w:hAnsi="Times New Roman"/>
          <w:color w:val="000000" w:themeColor="text1"/>
          <w:sz w:val="24"/>
          <w:szCs w:val="24"/>
        </w:rPr>
        <w:t xml:space="preserve">(saggi e narrativa venduti nelle librerie, online e </w:t>
      </w:r>
      <w:r w:rsidR="00444EB7">
        <w:rPr>
          <w:rFonts w:ascii="Times New Roman" w:hAnsi="Times New Roman"/>
          <w:color w:val="000000" w:themeColor="text1"/>
          <w:sz w:val="24"/>
          <w:szCs w:val="24"/>
        </w:rPr>
        <w:t>ne</w:t>
      </w:r>
      <w:r w:rsidR="00A83500" w:rsidRPr="00B539EA">
        <w:rPr>
          <w:rFonts w:ascii="Times New Roman" w:hAnsi="Times New Roman"/>
          <w:color w:val="000000" w:themeColor="text1"/>
          <w:sz w:val="24"/>
          <w:szCs w:val="24"/>
        </w:rPr>
        <w:t>lla grande distribuzione)</w:t>
      </w:r>
      <w:r w:rsidR="00A835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4EB7">
        <w:rPr>
          <w:rFonts w:ascii="Times New Roman" w:hAnsi="Times New Roman"/>
          <w:color w:val="000000" w:themeColor="text1"/>
          <w:sz w:val="24"/>
          <w:szCs w:val="24"/>
        </w:rPr>
        <w:t>evidenziano</w:t>
      </w:r>
      <w:r w:rsidR="00A835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4EB7">
        <w:rPr>
          <w:rFonts w:ascii="Times New Roman" w:hAnsi="Times New Roman"/>
          <w:color w:val="000000" w:themeColor="text1"/>
          <w:sz w:val="24"/>
          <w:szCs w:val="24"/>
        </w:rPr>
        <w:t>una</w:t>
      </w:r>
      <w:r w:rsidR="00A83500">
        <w:rPr>
          <w:rFonts w:ascii="Times New Roman" w:hAnsi="Times New Roman"/>
          <w:color w:val="000000" w:themeColor="text1"/>
          <w:sz w:val="24"/>
          <w:szCs w:val="24"/>
        </w:rPr>
        <w:t xml:space="preserve"> stagnazione del mercato, con vendite pari a </w:t>
      </w:r>
      <w:r w:rsidR="00247A86">
        <w:rPr>
          <w:rFonts w:ascii="Times New Roman" w:hAnsi="Times New Roman"/>
          <w:color w:val="000000" w:themeColor="text1"/>
          <w:sz w:val="24"/>
          <w:szCs w:val="24"/>
        </w:rPr>
        <w:t>675,8 milioni di euro, in calo dello 0,1</w:t>
      </w:r>
      <w:r w:rsidR="00451AF1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247A86">
        <w:rPr>
          <w:rFonts w:ascii="Times New Roman" w:hAnsi="Times New Roman"/>
          <w:color w:val="000000" w:themeColor="text1"/>
          <w:sz w:val="24"/>
          <w:szCs w:val="24"/>
        </w:rPr>
        <w:t xml:space="preserve"> rispetto all’anno precedente. </w:t>
      </w:r>
      <w:r w:rsidR="00562F9E">
        <w:rPr>
          <w:rFonts w:ascii="Times New Roman" w:hAnsi="Times New Roman"/>
          <w:color w:val="000000" w:themeColor="text1"/>
          <w:sz w:val="24"/>
          <w:szCs w:val="24"/>
        </w:rPr>
        <w:t>In calo di quasi un milione (</w:t>
      </w:r>
      <w:r w:rsidR="00AB3A71">
        <w:rPr>
          <w:rFonts w:ascii="Times New Roman" w:hAnsi="Times New Roman"/>
          <w:color w:val="000000" w:themeColor="text1"/>
          <w:sz w:val="24"/>
          <w:szCs w:val="24"/>
        </w:rPr>
        <w:t>900mila)</w:t>
      </w:r>
      <w:r w:rsidR="00B11E9F">
        <w:rPr>
          <w:rFonts w:ascii="Times New Roman" w:hAnsi="Times New Roman"/>
          <w:color w:val="000000" w:themeColor="text1"/>
          <w:sz w:val="24"/>
          <w:szCs w:val="24"/>
        </w:rPr>
        <w:t xml:space="preserve"> nei primi sei mesi</w:t>
      </w:r>
      <w:r w:rsidR="00AB3A71">
        <w:rPr>
          <w:rFonts w:ascii="Times New Roman" w:hAnsi="Times New Roman"/>
          <w:color w:val="000000" w:themeColor="text1"/>
          <w:sz w:val="24"/>
          <w:szCs w:val="24"/>
        </w:rPr>
        <w:t xml:space="preserve"> le copie </w:t>
      </w:r>
      <w:r w:rsidR="00AE2738">
        <w:rPr>
          <w:rFonts w:ascii="Times New Roman" w:hAnsi="Times New Roman"/>
          <w:color w:val="000000" w:themeColor="text1"/>
          <w:sz w:val="24"/>
          <w:szCs w:val="24"/>
        </w:rPr>
        <w:t xml:space="preserve">di libri </w:t>
      </w:r>
      <w:r w:rsidR="00AB3A71">
        <w:rPr>
          <w:rFonts w:ascii="Times New Roman" w:hAnsi="Times New Roman"/>
          <w:color w:val="000000" w:themeColor="text1"/>
          <w:sz w:val="24"/>
          <w:szCs w:val="24"/>
        </w:rPr>
        <w:t xml:space="preserve">vendute, </w:t>
      </w:r>
      <w:r w:rsidR="00AE2738">
        <w:rPr>
          <w:rFonts w:ascii="Times New Roman" w:hAnsi="Times New Roman"/>
          <w:color w:val="000000" w:themeColor="text1"/>
          <w:sz w:val="24"/>
          <w:szCs w:val="24"/>
        </w:rPr>
        <w:t>che raggiungono quota</w:t>
      </w:r>
      <w:r w:rsidR="00AB3A71">
        <w:rPr>
          <w:rFonts w:ascii="Times New Roman" w:hAnsi="Times New Roman"/>
          <w:color w:val="000000" w:themeColor="text1"/>
          <w:sz w:val="24"/>
          <w:szCs w:val="24"/>
        </w:rPr>
        <w:t xml:space="preserve"> 46,1 milioni. Rispetto al 2019 la </w:t>
      </w:r>
      <w:r w:rsidR="00176CDA">
        <w:rPr>
          <w:rFonts w:ascii="Times New Roman" w:hAnsi="Times New Roman"/>
          <w:color w:val="000000" w:themeColor="text1"/>
          <w:sz w:val="24"/>
          <w:szCs w:val="24"/>
        </w:rPr>
        <w:t>crescita è di 6,7 milioni di copi</w:t>
      </w:r>
      <w:r w:rsidR="00B83B44">
        <w:rPr>
          <w:rFonts w:ascii="Times New Roman" w:hAnsi="Times New Roman"/>
          <w:color w:val="000000" w:themeColor="text1"/>
          <w:sz w:val="24"/>
          <w:szCs w:val="24"/>
        </w:rPr>
        <w:t>e.</w:t>
      </w:r>
      <w:r w:rsidR="00FA36CD">
        <w:rPr>
          <w:rFonts w:ascii="Times New Roman" w:hAnsi="Times New Roman"/>
          <w:color w:val="000000" w:themeColor="text1"/>
          <w:sz w:val="24"/>
          <w:szCs w:val="24"/>
        </w:rPr>
        <w:t xml:space="preserve"> Sono questi i dati principali dell’editoria italiana</w:t>
      </w:r>
      <w:r w:rsidR="00186D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22E6">
        <w:rPr>
          <w:rFonts w:ascii="Times New Roman" w:hAnsi="Times New Roman"/>
          <w:color w:val="000000" w:themeColor="text1"/>
          <w:sz w:val="24"/>
          <w:szCs w:val="24"/>
        </w:rPr>
        <w:t>– fotografati dal Rapporto sullo stat</w:t>
      </w:r>
      <w:r w:rsidR="00F9297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C122E6">
        <w:rPr>
          <w:rFonts w:ascii="Times New Roman" w:hAnsi="Times New Roman"/>
          <w:color w:val="000000" w:themeColor="text1"/>
          <w:sz w:val="24"/>
          <w:szCs w:val="24"/>
        </w:rPr>
        <w:t xml:space="preserve"> dell’editoria in Italia</w:t>
      </w:r>
      <w:r w:rsidR="00F92977">
        <w:rPr>
          <w:rFonts w:ascii="Times New Roman" w:hAnsi="Times New Roman"/>
          <w:color w:val="000000" w:themeColor="text1"/>
          <w:sz w:val="24"/>
          <w:szCs w:val="24"/>
        </w:rPr>
        <w:t xml:space="preserve"> 2024</w:t>
      </w:r>
      <w:r w:rsidR="00C122E6">
        <w:rPr>
          <w:rFonts w:ascii="Times New Roman" w:hAnsi="Times New Roman"/>
          <w:color w:val="000000" w:themeColor="text1"/>
          <w:sz w:val="24"/>
          <w:szCs w:val="24"/>
        </w:rPr>
        <w:t>, a cura d</w:t>
      </w:r>
      <w:r w:rsidR="00F92977">
        <w:rPr>
          <w:rFonts w:ascii="Times New Roman" w:hAnsi="Times New Roman"/>
          <w:color w:val="000000" w:themeColor="text1"/>
          <w:sz w:val="24"/>
          <w:szCs w:val="24"/>
        </w:rPr>
        <w:t>ell’Associazione Italiana Editori</w:t>
      </w:r>
      <w:r w:rsidR="00C122E6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FA36CD">
        <w:rPr>
          <w:rFonts w:ascii="Times New Roman" w:hAnsi="Times New Roman"/>
          <w:color w:val="000000" w:themeColor="text1"/>
          <w:sz w:val="24"/>
          <w:szCs w:val="24"/>
        </w:rPr>
        <w:t>che si presenta alla Buchmesse come Paese Ospite d’Onore con un numero di diritti di traduzione venduti nel 2023 all’estero che sfiora gli ottomila e un export di libri italiani all’estero in crescita.</w:t>
      </w:r>
    </w:p>
    <w:p w14:paraId="640B4DF5" w14:textId="77777777" w:rsidR="00942711" w:rsidRPr="00B539EA" w:rsidRDefault="00942711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14:paraId="2BBF1227" w14:textId="1A211924" w:rsidR="004E45E6" w:rsidRPr="00B539EA" w:rsidRDefault="002052E1" w:rsidP="000C235E">
      <w:pPr>
        <w:ind w:left="-142" w:righ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B539EA">
        <w:rPr>
          <w:rFonts w:ascii="Times New Roman" w:hAnsi="Times New Roman"/>
          <w:b/>
          <w:bCs/>
          <w:sz w:val="24"/>
          <w:szCs w:val="24"/>
        </w:rPr>
        <w:t>Il mercato</w:t>
      </w:r>
      <w:r w:rsidR="001D23FF" w:rsidRPr="00B539EA">
        <w:rPr>
          <w:rFonts w:ascii="Times New Roman" w:hAnsi="Times New Roman"/>
          <w:b/>
          <w:bCs/>
          <w:sz w:val="24"/>
          <w:szCs w:val="24"/>
        </w:rPr>
        <w:t xml:space="preserve"> nel 202</w:t>
      </w:r>
      <w:r w:rsidR="008010D7">
        <w:rPr>
          <w:rFonts w:ascii="Times New Roman" w:hAnsi="Times New Roman"/>
          <w:b/>
          <w:bCs/>
          <w:sz w:val="24"/>
          <w:szCs w:val="24"/>
        </w:rPr>
        <w:t>3</w:t>
      </w:r>
    </w:p>
    <w:p w14:paraId="41C3FEA5" w14:textId="69199C75" w:rsidR="00D7301D" w:rsidRDefault="002052E1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B539EA">
        <w:rPr>
          <w:rFonts w:ascii="Times New Roman" w:hAnsi="Times New Roman"/>
          <w:sz w:val="24"/>
          <w:szCs w:val="24"/>
        </w:rPr>
        <w:t>Gli oltre 3 miliardi di euro</w:t>
      </w:r>
      <w:r w:rsidR="00701382" w:rsidRPr="00B539EA">
        <w:rPr>
          <w:rFonts w:ascii="Times New Roman" w:hAnsi="Times New Roman"/>
          <w:sz w:val="24"/>
          <w:szCs w:val="24"/>
        </w:rPr>
        <w:t xml:space="preserve"> (3</w:t>
      </w:r>
      <w:r w:rsidR="0007281C" w:rsidRPr="00B539EA">
        <w:rPr>
          <w:rFonts w:ascii="Times New Roman" w:hAnsi="Times New Roman"/>
          <w:sz w:val="24"/>
          <w:szCs w:val="24"/>
        </w:rPr>
        <w:t>.</w:t>
      </w:r>
      <w:r w:rsidR="00D7301D">
        <w:rPr>
          <w:rFonts w:ascii="Times New Roman" w:hAnsi="Times New Roman"/>
          <w:sz w:val="24"/>
          <w:szCs w:val="24"/>
        </w:rPr>
        <w:t>439</w:t>
      </w:r>
      <w:r w:rsidR="0007281C" w:rsidRPr="00B539EA">
        <w:rPr>
          <w:rFonts w:ascii="Times New Roman" w:hAnsi="Times New Roman"/>
          <w:sz w:val="24"/>
          <w:szCs w:val="24"/>
        </w:rPr>
        <w:t xml:space="preserve"> milioni</w:t>
      </w:r>
      <w:r w:rsidR="00701382" w:rsidRPr="00B539EA">
        <w:rPr>
          <w:rFonts w:ascii="Times New Roman" w:hAnsi="Times New Roman"/>
          <w:sz w:val="24"/>
          <w:szCs w:val="24"/>
        </w:rPr>
        <w:t>)</w:t>
      </w:r>
      <w:r w:rsidRPr="00B539EA">
        <w:rPr>
          <w:rFonts w:ascii="Times New Roman" w:hAnsi="Times New Roman"/>
          <w:sz w:val="24"/>
          <w:szCs w:val="24"/>
        </w:rPr>
        <w:t xml:space="preserve"> </w:t>
      </w:r>
      <w:r w:rsidR="00701382" w:rsidRPr="00B539EA">
        <w:rPr>
          <w:rFonts w:ascii="Times New Roman" w:hAnsi="Times New Roman"/>
          <w:sz w:val="24"/>
          <w:szCs w:val="24"/>
        </w:rPr>
        <w:t>di venduto</w:t>
      </w:r>
      <w:r w:rsidR="00B55634">
        <w:rPr>
          <w:rFonts w:ascii="Times New Roman" w:hAnsi="Times New Roman"/>
          <w:sz w:val="24"/>
          <w:szCs w:val="24"/>
        </w:rPr>
        <w:t xml:space="preserve"> attestano l’editoria italiana come quarta in Europa </w:t>
      </w:r>
      <w:r w:rsidR="00B37976">
        <w:rPr>
          <w:rFonts w:ascii="Times New Roman" w:hAnsi="Times New Roman"/>
          <w:sz w:val="24"/>
          <w:szCs w:val="24"/>
        </w:rPr>
        <w:t xml:space="preserve">- </w:t>
      </w:r>
      <w:r w:rsidR="00B55634">
        <w:rPr>
          <w:rFonts w:ascii="Times New Roman" w:hAnsi="Times New Roman"/>
          <w:sz w:val="24"/>
          <w:szCs w:val="24"/>
        </w:rPr>
        <w:t>dietro a Germania, Regno Unito e Francia</w:t>
      </w:r>
      <w:r w:rsidR="00134182">
        <w:rPr>
          <w:rFonts w:ascii="Times New Roman" w:hAnsi="Times New Roman"/>
          <w:sz w:val="24"/>
          <w:szCs w:val="24"/>
        </w:rPr>
        <w:t xml:space="preserve"> </w:t>
      </w:r>
      <w:r w:rsidR="00B37976">
        <w:rPr>
          <w:rFonts w:ascii="Times New Roman" w:hAnsi="Times New Roman"/>
          <w:sz w:val="24"/>
          <w:szCs w:val="24"/>
        </w:rPr>
        <w:t xml:space="preserve">- </w:t>
      </w:r>
      <w:r w:rsidR="00134182">
        <w:rPr>
          <w:rFonts w:ascii="Times New Roman" w:hAnsi="Times New Roman"/>
          <w:sz w:val="24"/>
          <w:szCs w:val="24"/>
        </w:rPr>
        <w:t xml:space="preserve">e sesta </w:t>
      </w:r>
      <w:r w:rsidR="00421460">
        <w:rPr>
          <w:rFonts w:ascii="Times New Roman" w:hAnsi="Times New Roman"/>
          <w:sz w:val="24"/>
          <w:szCs w:val="24"/>
        </w:rPr>
        <w:t>nel mondo. Il valore della spesa</w:t>
      </w:r>
      <w:r w:rsidR="007C75D6">
        <w:rPr>
          <w:rFonts w:ascii="Times New Roman" w:hAnsi="Times New Roman"/>
          <w:sz w:val="24"/>
          <w:szCs w:val="24"/>
        </w:rPr>
        <w:t xml:space="preserve"> dei lettori</w:t>
      </w:r>
      <w:r w:rsidR="00421460">
        <w:rPr>
          <w:rFonts w:ascii="Times New Roman" w:hAnsi="Times New Roman"/>
          <w:sz w:val="24"/>
          <w:szCs w:val="24"/>
        </w:rPr>
        <w:t xml:space="preserve"> è superiore, in Italia, a </w:t>
      </w:r>
      <w:r w:rsidR="007C75D6">
        <w:rPr>
          <w:rFonts w:ascii="Times New Roman" w:hAnsi="Times New Roman"/>
          <w:sz w:val="24"/>
          <w:szCs w:val="24"/>
        </w:rPr>
        <w:t xml:space="preserve">quello dei consumatori per le </w:t>
      </w:r>
      <w:proofErr w:type="spellStart"/>
      <w:r w:rsidR="007C75D6">
        <w:rPr>
          <w:rFonts w:ascii="Times New Roman" w:hAnsi="Times New Roman"/>
          <w:sz w:val="24"/>
          <w:szCs w:val="24"/>
        </w:rPr>
        <w:t>pay</w:t>
      </w:r>
      <w:proofErr w:type="spellEnd"/>
      <w:r w:rsidR="007C75D6">
        <w:rPr>
          <w:rFonts w:ascii="Times New Roman" w:hAnsi="Times New Roman"/>
          <w:sz w:val="24"/>
          <w:szCs w:val="24"/>
        </w:rPr>
        <w:t xml:space="preserve"> tv, </w:t>
      </w:r>
      <w:r w:rsidR="000A7F58">
        <w:rPr>
          <w:rFonts w:ascii="Times New Roman" w:hAnsi="Times New Roman"/>
          <w:sz w:val="24"/>
          <w:szCs w:val="24"/>
        </w:rPr>
        <w:t xml:space="preserve">a quello per </w:t>
      </w:r>
      <w:r w:rsidR="007C75D6">
        <w:rPr>
          <w:rFonts w:ascii="Times New Roman" w:hAnsi="Times New Roman"/>
          <w:sz w:val="24"/>
          <w:szCs w:val="24"/>
        </w:rPr>
        <w:t>la tv in chiaro (canone tv)</w:t>
      </w:r>
      <w:r w:rsidR="00052614">
        <w:rPr>
          <w:rFonts w:ascii="Times New Roman" w:hAnsi="Times New Roman"/>
          <w:sz w:val="24"/>
          <w:szCs w:val="24"/>
        </w:rPr>
        <w:t>, videogiochi</w:t>
      </w:r>
      <w:r w:rsidR="000A7F58">
        <w:rPr>
          <w:rFonts w:ascii="Times New Roman" w:hAnsi="Times New Roman"/>
          <w:sz w:val="24"/>
          <w:szCs w:val="24"/>
        </w:rPr>
        <w:t xml:space="preserve">, musica e cinema. </w:t>
      </w:r>
      <w:r w:rsidR="00805096">
        <w:rPr>
          <w:rFonts w:ascii="Times New Roman" w:hAnsi="Times New Roman"/>
          <w:sz w:val="24"/>
          <w:szCs w:val="24"/>
        </w:rPr>
        <w:t>Le vendite del mercato trade</w:t>
      </w:r>
      <w:r w:rsidR="001E6E12">
        <w:rPr>
          <w:rFonts w:ascii="Times New Roman" w:hAnsi="Times New Roman"/>
          <w:sz w:val="24"/>
          <w:szCs w:val="24"/>
        </w:rPr>
        <w:t xml:space="preserve">, compresi e-book e audiolibri e </w:t>
      </w:r>
      <w:r w:rsidR="00813666">
        <w:rPr>
          <w:rFonts w:ascii="Times New Roman" w:hAnsi="Times New Roman"/>
          <w:sz w:val="24"/>
          <w:szCs w:val="24"/>
        </w:rPr>
        <w:t>libri a stampa venduti in canali come saloni, festival e punti di vendita minori,</w:t>
      </w:r>
      <w:r w:rsidR="00805096">
        <w:rPr>
          <w:rFonts w:ascii="Times New Roman" w:hAnsi="Times New Roman"/>
          <w:sz w:val="24"/>
          <w:szCs w:val="24"/>
        </w:rPr>
        <w:t xml:space="preserve"> sono </w:t>
      </w:r>
      <w:r w:rsidR="00D44A30">
        <w:rPr>
          <w:rFonts w:ascii="Times New Roman" w:hAnsi="Times New Roman"/>
          <w:sz w:val="24"/>
          <w:szCs w:val="24"/>
        </w:rPr>
        <w:t xml:space="preserve">stati nel 2023 </w:t>
      </w:r>
      <w:r w:rsidR="00805096">
        <w:rPr>
          <w:rFonts w:ascii="Times New Roman" w:hAnsi="Times New Roman"/>
          <w:sz w:val="24"/>
          <w:szCs w:val="24"/>
        </w:rPr>
        <w:t>pari a 1.913 milioni di euro</w:t>
      </w:r>
      <w:r w:rsidR="001A0BFD">
        <w:rPr>
          <w:rFonts w:ascii="Times New Roman" w:hAnsi="Times New Roman"/>
          <w:sz w:val="24"/>
          <w:szCs w:val="24"/>
        </w:rPr>
        <w:t>.</w:t>
      </w:r>
      <w:r w:rsidR="00C7141C">
        <w:rPr>
          <w:rFonts w:ascii="Times New Roman" w:hAnsi="Times New Roman"/>
          <w:sz w:val="24"/>
          <w:szCs w:val="24"/>
        </w:rPr>
        <w:t xml:space="preserve"> </w:t>
      </w:r>
      <w:r w:rsidR="00D44A30">
        <w:rPr>
          <w:rFonts w:ascii="Times New Roman" w:hAnsi="Times New Roman"/>
          <w:sz w:val="24"/>
          <w:szCs w:val="24"/>
        </w:rPr>
        <w:t>A questi si aggiungono i</w:t>
      </w:r>
      <w:r w:rsidR="00C7141C">
        <w:rPr>
          <w:rFonts w:ascii="Times New Roman" w:hAnsi="Times New Roman"/>
          <w:sz w:val="24"/>
          <w:szCs w:val="24"/>
        </w:rPr>
        <w:t>l settore educativo (scolastico</w:t>
      </w:r>
      <w:r w:rsidR="00FD3143">
        <w:rPr>
          <w:rFonts w:ascii="Times New Roman" w:hAnsi="Times New Roman"/>
          <w:sz w:val="24"/>
          <w:szCs w:val="24"/>
        </w:rPr>
        <w:t>, parascolastico e universitario)</w:t>
      </w:r>
      <w:r w:rsidR="00D44A30">
        <w:rPr>
          <w:rFonts w:ascii="Times New Roman" w:hAnsi="Times New Roman"/>
          <w:sz w:val="24"/>
          <w:szCs w:val="24"/>
        </w:rPr>
        <w:t xml:space="preserve">, che </w:t>
      </w:r>
      <w:r w:rsidR="00FD3143">
        <w:rPr>
          <w:rFonts w:ascii="Times New Roman" w:hAnsi="Times New Roman"/>
          <w:sz w:val="24"/>
          <w:szCs w:val="24"/>
        </w:rPr>
        <w:t xml:space="preserve">vale 1.031 milioni di euro, di cui 794 milioni le adozioni scolastiche. </w:t>
      </w:r>
      <w:r w:rsidR="00D44A30">
        <w:rPr>
          <w:rFonts w:ascii="Times New Roman" w:hAnsi="Times New Roman"/>
          <w:sz w:val="24"/>
          <w:szCs w:val="24"/>
        </w:rPr>
        <w:t>E i</w:t>
      </w:r>
      <w:r w:rsidR="00BE52F4">
        <w:rPr>
          <w:rFonts w:ascii="Times New Roman" w:hAnsi="Times New Roman"/>
          <w:sz w:val="24"/>
          <w:szCs w:val="24"/>
        </w:rPr>
        <w:t>l settore professionale</w:t>
      </w:r>
      <w:r w:rsidR="00D44A30">
        <w:rPr>
          <w:rFonts w:ascii="Times New Roman" w:hAnsi="Times New Roman"/>
          <w:sz w:val="24"/>
          <w:szCs w:val="24"/>
        </w:rPr>
        <w:t xml:space="preserve">, che </w:t>
      </w:r>
      <w:r w:rsidR="00BE52F4">
        <w:rPr>
          <w:rFonts w:ascii="Times New Roman" w:hAnsi="Times New Roman"/>
          <w:sz w:val="24"/>
          <w:szCs w:val="24"/>
        </w:rPr>
        <w:t xml:space="preserve">vale 565 milioni di euro. </w:t>
      </w:r>
      <w:r w:rsidR="000755DD">
        <w:rPr>
          <w:rFonts w:ascii="Times New Roman" w:hAnsi="Times New Roman"/>
          <w:sz w:val="24"/>
          <w:szCs w:val="24"/>
        </w:rPr>
        <w:t>L’export</w:t>
      </w:r>
      <w:r w:rsidR="001A0BFD">
        <w:rPr>
          <w:rFonts w:ascii="Times New Roman" w:hAnsi="Times New Roman"/>
          <w:sz w:val="24"/>
          <w:szCs w:val="24"/>
        </w:rPr>
        <w:t xml:space="preserve"> </w:t>
      </w:r>
      <w:r w:rsidR="000755DD">
        <w:rPr>
          <w:rFonts w:ascii="Times New Roman" w:hAnsi="Times New Roman"/>
          <w:sz w:val="24"/>
          <w:szCs w:val="24"/>
        </w:rPr>
        <w:t>di libri italiani all’estero 51 milioni</w:t>
      </w:r>
      <w:r w:rsidR="00D70C0E">
        <w:rPr>
          <w:rFonts w:ascii="Times New Roman" w:hAnsi="Times New Roman"/>
          <w:sz w:val="24"/>
          <w:szCs w:val="24"/>
        </w:rPr>
        <w:t xml:space="preserve">, in leggera crescita rispetto allo scorso anno </w:t>
      </w:r>
      <w:r w:rsidR="00FA36CD">
        <w:rPr>
          <w:rFonts w:ascii="Times New Roman" w:hAnsi="Times New Roman"/>
          <w:sz w:val="24"/>
          <w:szCs w:val="24"/>
        </w:rPr>
        <w:t xml:space="preserve">(+2%). </w:t>
      </w:r>
      <w:r w:rsidR="00BE52F4">
        <w:rPr>
          <w:rFonts w:ascii="Times New Roman" w:hAnsi="Times New Roman"/>
          <w:sz w:val="24"/>
          <w:szCs w:val="24"/>
        </w:rPr>
        <w:t>Sono numeri che si traducono in 70mila addetti del mondo del</w:t>
      </w:r>
      <w:r w:rsidR="00506485">
        <w:rPr>
          <w:rFonts w:ascii="Times New Roman" w:hAnsi="Times New Roman"/>
          <w:sz w:val="24"/>
          <w:szCs w:val="24"/>
        </w:rPr>
        <w:t xml:space="preserve"> libro, compreso l’indotto, oltre tremila librerie sul territorio nazionale, 5.308</w:t>
      </w:r>
      <w:r w:rsidR="000755DD">
        <w:rPr>
          <w:rFonts w:ascii="Times New Roman" w:hAnsi="Times New Roman"/>
          <w:sz w:val="24"/>
          <w:szCs w:val="24"/>
        </w:rPr>
        <w:t xml:space="preserve"> editori attivi.</w:t>
      </w:r>
    </w:p>
    <w:p w14:paraId="389BD951" w14:textId="77777777" w:rsidR="00EA5B5C" w:rsidRPr="00B539EA" w:rsidRDefault="00EA5B5C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14:paraId="5BC39BE3" w14:textId="52551618" w:rsidR="00F93F92" w:rsidRDefault="002E5CD6" w:rsidP="000C235E">
      <w:pPr>
        <w:ind w:left="-142" w:right="-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primi sei mesi del</w:t>
      </w:r>
      <w:r w:rsidR="00CB3BFE">
        <w:rPr>
          <w:rFonts w:ascii="Times New Roman" w:hAnsi="Times New Roman"/>
          <w:b/>
          <w:bCs/>
          <w:sz w:val="24"/>
          <w:szCs w:val="24"/>
        </w:rPr>
        <w:t xml:space="preserve"> mercato</w:t>
      </w:r>
      <w:r>
        <w:rPr>
          <w:rFonts w:ascii="Times New Roman" w:hAnsi="Times New Roman"/>
          <w:b/>
          <w:bCs/>
          <w:sz w:val="24"/>
          <w:szCs w:val="24"/>
        </w:rPr>
        <w:t xml:space="preserve"> trade 2024</w:t>
      </w:r>
    </w:p>
    <w:p w14:paraId="4604BF74" w14:textId="77777777" w:rsidR="00E437EF" w:rsidRDefault="000E506B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2F3741">
        <w:rPr>
          <w:rFonts w:ascii="Times New Roman" w:hAnsi="Times New Roman"/>
          <w:sz w:val="24"/>
          <w:szCs w:val="24"/>
        </w:rPr>
        <w:t>Il mer</w:t>
      </w:r>
      <w:r w:rsidR="002F3741">
        <w:rPr>
          <w:rFonts w:ascii="Times New Roman" w:hAnsi="Times New Roman"/>
          <w:sz w:val="24"/>
          <w:szCs w:val="24"/>
        </w:rPr>
        <w:t xml:space="preserve">cato trade dei primi sei mesi del 2024 </w:t>
      </w:r>
      <w:r w:rsidR="002323D1">
        <w:rPr>
          <w:rFonts w:ascii="Times New Roman" w:hAnsi="Times New Roman"/>
          <w:sz w:val="24"/>
          <w:szCs w:val="24"/>
        </w:rPr>
        <w:t>è in calo dello 0,1% rispetto al 2023, con vendite pari a 675,</w:t>
      </w:r>
      <w:r w:rsidR="00E8127F">
        <w:rPr>
          <w:rFonts w:ascii="Times New Roman" w:hAnsi="Times New Roman"/>
          <w:sz w:val="24"/>
          <w:szCs w:val="24"/>
        </w:rPr>
        <w:t>8 milioni di euro. Le copie vendute sono pari a 46,1 milioni, in calo di 0,9 milioni rispetto all’anno precedente ma in crescita di 6,7 milioni</w:t>
      </w:r>
      <w:r w:rsidR="001A01B3">
        <w:rPr>
          <w:rFonts w:ascii="Times New Roman" w:hAnsi="Times New Roman"/>
          <w:sz w:val="24"/>
          <w:szCs w:val="24"/>
        </w:rPr>
        <w:t xml:space="preserve"> rispetto al 2019. </w:t>
      </w:r>
    </w:p>
    <w:p w14:paraId="014EFE6F" w14:textId="20ABB8CB" w:rsidR="002E5CD6" w:rsidRDefault="001A01B3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quanto riguarda i </w:t>
      </w:r>
      <w:r w:rsidR="00547E19">
        <w:rPr>
          <w:rFonts w:ascii="Times New Roman" w:hAnsi="Times New Roman"/>
          <w:sz w:val="24"/>
          <w:szCs w:val="24"/>
        </w:rPr>
        <w:t>generi</w:t>
      </w:r>
      <w:r>
        <w:rPr>
          <w:rFonts w:ascii="Times New Roman" w:hAnsi="Times New Roman"/>
          <w:sz w:val="24"/>
          <w:szCs w:val="24"/>
        </w:rPr>
        <w:t>, continua la crescita della narrativa, in particolare quella di autori italiani (+5,4%)</w:t>
      </w:r>
      <w:r w:rsidR="00547E19">
        <w:rPr>
          <w:rFonts w:ascii="Times New Roman" w:hAnsi="Times New Roman"/>
          <w:sz w:val="24"/>
          <w:szCs w:val="24"/>
        </w:rPr>
        <w:t>, ma anche quella</w:t>
      </w:r>
      <w:r w:rsidR="00C53C10">
        <w:rPr>
          <w:rFonts w:ascii="Times New Roman" w:hAnsi="Times New Roman"/>
          <w:sz w:val="24"/>
          <w:szCs w:val="24"/>
        </w:rPr>
        <w:t xml:space="preserve"> straniera (+3,1%)</w:t>
      </w:r>
      <w:r w:rsidR="00001404">
        <w:rPr>
          <w:rFonts w:ascii="Times New Roman" w:hAnsi="Times New Roman"/>
          <w:sz w:val="24"/>
          <w:szCs w:val="24"/>
        </w:rPr>
        <w:t>, avanza la manualistica (+1%)</w:t>
      </w:r>
      <w:r>
        <w:rPr>
          <w:rFonts w:ascii="Times New Roman" w:hAnsi="Times New Roman"/>
          <w:sz w:val="24"/>
          <w:szCs w:val="24"/>
        </w:rPr>
        <w:t xml:space="preserve"> mentre segnano </w:t>
      </w:r>
      <w:r w:rsidR="003C090D">
        <w:rPr>
          <w:rFonts w:ascii="Times New Roman" w:hAnsi="Times New Roman"/>
          <w:sz w:val="24"/>
          <w:szCs w:val="24"/>
        </w:rPr>
        <w:t xml:space="preserve">una battuta di arresto i fumetti (-4,8%), </w:t>
      </w:r>
      <w:r w:rsidR="00447901">
        <w:rPr>
          <w:rFonts w:ascii="Times New Roman" w:hAnsi="Times New Roman"/>
          <w:sz w:val="24"/>
          <w:szCs w:val="24"/>
        </w:rPr>
        <w:t>i libri per bambini e ragazzi (</w:t>
      </w:r>
      <w:r w:rsidR="00547E19">
        <w:rPr>
          <w:rFonts w:ascii="Times New Roman" w:hAnsi="Times New Roman"/>
          <w:sz w:val="24"/>
          <w:szCs w:val="24"/>
        </w:rPr>
        <w:t xml:space="preserve">-2,8%), </w:t>
      </w:r>
      <w:r w:rsidR="00447901">
        <w:rPr>
          <w:rFonts w:ascii="Times New Roman" w:hAnsi="Times New Roman"/>
          <w:sz w:val="24"/>
          <w:szCs w:val="24"/>
        </w:rPr>
        <w:t>la saggistica generale (-3%)</w:t>
      </w:r>
      <w:r w:rsidR="00547E19">
        <w:rPr>
          <w:rFonts w:ascii="Times New Roman" w:hAnsi="Times New Roman"/>
          <w:sz w:val="24"/>
          <w:szCs w:val="24"/>
        </w:rPr>
        <w:t xml:space="preserve"> e</w:t>
      </w:r>
      <w:r w:rsidR="00447901">
        <w:rPr>
          <w:rFonts w:ascii="Times New Roman" w:hAnsi="Times New Roman"/>
          <w:sz w:val="24"/>
          <w:szCs w:val="24"/>
        </w:rPr>
        <w:t xml:space="preserve"> quella specializzata (</w:t>
      </w:r>
      <w:r w:rsidR="00C53C10">
        <w:rPr>
          <w:rFonts w:ascii="Times New Roman" w:hAnsi="Times New Roman"/>
          <w:sz w:val="24"/>
          <w:szCs w:val="24"/>
        </w:rPr>
        <w:t>-1,6</w:t>
      </w:r>
      <w:r w:rsidR="00885E8B">
        <w:rPr>
          <w:rFonts w:ascii="Times New Roman" w:hAnsi="Times New Roman"/>
          <w:sz w:val="24"/>
          <w:szCs w:val="24"/>
        </w:rPr>
        <w:t>%)</w:t>
      </w:r>
      <w:r w:rsidR="00001404">
        <w:rPr>
          <w:rFonts w:ascii="Times New Roman" w:hAnsi="Times New Roman"/>
          <w:sz w:val="24"/>
          <w:szCs w:val="24"/>
        </w:rPr>
        <w:t>.</w:t>
      </w:r>
      <w:r w:rsidR="0041614E">
        <w:rPr>
          <w:rFonts w:ascii="Times New Roman" w:hAnsi="Times New Roman"/>
          <w:sz w:val="24"/>
          <w:szCs w:val="24"/>
        </w:rPr>
        <w:t xml:space="preserve"> Nella top </w:t>
      </w:r>
      <w:proofErr w:type="gramStart"/>
      <w:r w:rsidR="0041614E">
        <w:rPr>
          <w:rFonts w:ascii="Times New Roman" w:hAnsi="Times New Roman"/>
          <w:sz w:val="24"/>
          <w:szCs w:val="24"/>
        </w:rPr>
        <w:t>10</w:t>
      </w:r>
      <w:proofErr w:type="gramEnd"/>
      <w:r w:rsidR="009F72EE">
        <w:rPr>
          <w:rFonts w:ascii="Times New Roman" w:hAnsi="Times New Roman"/>
          <w:sz w:val="24"/>
          <w:szCs w:val="24"/>
        </w:rPr>
        <w:t xml:space="preserve"> dei libri più venduti (</w:t>
      </w:r>
      <w:r w:rsidR="00DF1112">
        <w:rPr>
          <w:rFonts w:ascii="Times New Roman" w:hAnsi="Times New Roman"/>
          <w:sz w:val="24"/>
          <w:szCs w:val="24"/>
        </w:rPr>
        <w:t xml:space="preserve">qui in </w:t>
      </w:r>
      <w:r w:rsidR="009F72EE">
        <w:rPr>
          <w:rFonts w:ascii="Times New Roman" w:hAnsi="Times New Roman"/>
          <w:sz w:val="24"/>
          <w:szCs w:val="24"/>
        </w:rPr>
        <w:t>allegato) ci sono nove autrici e autori italiani e lo svizzero Jo</w:t>
      </w:r>
      <w:r w:rsidR="007C1787" w:rsidRPr="00520CE1">
        <w:rPr>
          <w:rFonts w:ascii="Times New Roman" w:hAnsi="Times New Roman"/>
          <w:sz w:val="24"/>
          <w:szCs w:val="24"/>
        </w:rPr>
        <w:t>ë</w:t>
      </w:r>
      <w:r w:rsidR="009F72EE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="009F72EE">
        <w:rPr>
          <w:rFonts w:ascii="Times New Roman" w:hAnsi="Times New Roman"/>
          <w:sz w:val="24"/>
          <w:szCs w:val="24"/>
        </w:rPr>
        <w:t>Dick</w:t>
      </w:r>
      <w:r w:rsidR="007C1787">
        <w:rPr>
          <w:rFonts w:ascii="Times New Roman" w:hAnsi="Times New Roman"/>
          <w:sz w:val="24"/>
          <w:szCs w:val="24"/>
        </w:rPr>
        <w:t>e</w:t>
      </w:r>
      <w:r w:rsidR="009F72EE">
        <w:rPr>
          <w:rFonts w:ascii="Times New Roman" w:hAnsi="Times New Roman"/>
          <w:sz w:val="24"/>
          <w:szCs w:val="24"/>
        </w:rPr>
        <w:t>r</w:t>
      </w:r>
      <w:proofErr w:type="spellEnd"/>
      <w:r w:rsidR="009F72EE">
        <w:rPr>
          <w:rFonts w:ascii="Times New Roman" w:hAnsi="Times New Roman"/>
          <w:sz w:val="24"/>
          <w:szCs w:val="24"/>
        </w:rPr>
        <w:t xml:space="preserve"> al primo posto. </w:t>
      </w:r>
    </w:p>
    <w:p w14:paraId="0E8F130D" w14:textId="526B0110" w:rsidR="00F93F92" w:rsidRPr="009920B3" w:rsidRDefault="00001404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145383">
        <w:rPr>
          <w:rFonts w:ascii="Times New Roman" w:hAnsi="Times New Roman"/>
          <w:sz w:val="24"/>
          <w:szCs w:val="24"/>
        </w:rPr>
        <w:t xml:space="preserve">Per quanto riguarda </w:t>
      </w:r>
      <w:r w:rsidR="00FB2ADE" w:rsidRPr="00145383">
        <w:rPr>
          <w:rFonts w:ascii="Times New Roman" w:hAnsi="Times New Roman"/>
          <w:sz w:val="24"/>
          <w:szCs w:val="24"/>
        </w:rPr>
        <w:t xml:space="preserve">i canali di vendita, </w:t>
      </w:r>
      <w:r w:rsidR="0007574B" w:rsidRPr="00145383">
        <w:rPr>
          <w:rFonts w:ascii="Times New Roman" w:hAnsi="Times New Roman"/>
          <w:sz w:val="24"/>
          <w:szCs w:val="24"/>
        </w:rPr>
        <w:t xml:space="preserve">le librerie fisiche </w:t>
      </w:r>
      <w:r w:rsidR="00A03CEE" w:rsidRPr="00145383">
        <w:rPr>
          <w:rFonts w:ascii="Times New Roman" w:hAnsi="Times New Roman"/>
          <w:sz w:val="24"/>
          <w:szCs w:val="24"/>
        </w:rPr>
        <w:t xml:space="preserve">raggiungono </w:t>
      </w:r>
      <w:r w:rsidR="0007574B" w:rsidRPr="00145383">
        <w:rPr>
          <w:rFonts w:ascii="Times New Roman" w:hAnsi="Times New Roman"/>
          <w:sz w:val="24"/>
          <w:szCs w:val="24"/>
        </w:rPr>
        <w:t>il 53,7% delle vendite</w:t>
      </w:r>
      <w:r w:rsidR="00054623" w:rsidRPr="00145383">
        <w:rPr>
          <w:rFonts w:ascii="Times New Roman" w:hAnsi="Times New Roman"/>
          <w:sz w:val="24"/>
          <w:szCs w:val="24"/>
        </w:rPr>
        <w:t xml:space="preserve"> e continuano il recupero</w:t>
      </w:r>
      <w:r w:rsidR="00FE0503" w:rsidRPr="00145383">
        <w:rPr>
          <w:rFonts w:ascii="Times New Roman" w:hAnsi="Times New Roman"/>
          <w:sz w:val="24"/>
          <w:szCs w:val="24"/>
        </w:rPr>
        <w:t xml:space="preserve"> avviato dopo la crisi del 2020, quando pesavano per il 49,1%.</w:t>
      </w:r>
      <w:r w:rsidR="0007574B" w:rsidRPr="00145383">
        <w:rPr>
          <w:rFonts w:ascii="Times New Roman" w:hAnsi="Times New Roman"/>
          <w:sz w:val="24"/>
          <w:szCs w:val="24"/>
        </w:rPr>
        <w:t xml:space="preserve"> </w:t>
      </w:r>
      <w:r w:rsidR="00FE0503" w:rsidRPr="00145383">
        <w:rPr>
          <w:rFonts w:ascii="Times New Roman" w:hAnsi="Times New Roman"/>
          <w:sz w:val="24"/>
          <w:szCs w:val="24"/>
        </w:rPr>
        <w:t>L</w:t>
      </w:r>
      <w:r w:rsidR="0007574B" w:rsidRPr="00145383">
        <w:rPr>
          <w:rFonts w:ascii="Times New Roman" w:hAnsi="Times New Roman"/>
          <w:sz w:val="24"/>
          <w:szCs w:val="24"/>
        </w:rPr>
        <w:t xml:space="preserve">’online </w:t>
      </w:r>
      <w:r w:rsidR="00FE0503" w:rsidRPr="00145383">
        <w:rPr>
          <w:rFonts w:ascii="Times New Roman" w:hAnsi="Times New Roman"/>
          <w:sz w:val="24"/>
          <w:szCs w:val="24"/>
        </w:rPr>
        <w:t xml:space="preserve">pesa per </w:t>
      </w:r>
      <w:r w:rsidR="0007574B" w:rsidRPr="00145383">
        <w:rPr>
          <w:rFonts w:ascii="Times New Roman" w:hAnsi="Times New Roman"/>
          <w:sz w:val="24"/>
          <w:szCs w:val="24"/>
        </w:rPr>
        <w:t xml:space="preserve">il </w:t>
      </w:r>
      <w:r w:rsidR="00054623" w:rsidRPr="00145383">
        <w:rPr>
          <w:rFonts w:ascii="Times New Roman" w:hAnsi="Times New Roman"/>
          <w:sz w:val="24"/>
          <w:szCs w:val="24"/>
        </w:rPr>
        <w:t>41,7%</w:t>
      </w:r>
      <w:r w:rsidR="00463441" w:rsidRPr="00145383">
        <w:rPr>
          <w:rFonts w:ascii="Times New Roman" w:hAnsi="Times New Roman"/>
          <w:sz w:val="24"/>
          <w:szCs w:val="24"/>
        </w:rPr>
        <w:t xml:space="preserve"> (in </w:t>
      </w:r>
      <w:r w:rsidR="00145383" w:rsidRPr="00145383">
        <w:rPr>
          <w:rFonts w:ascii="Times New Roman" w:hAnsi="Times New Roman"/>
          <w:sz w:val="24"/>
          <w:szCs w:val="24"/>
        </w:rPr>
        <w:t>leggero calo</w:t>
      </w:r>
      <w:r w:rsidR="00463441" w:rsidRPr="00145383">
        <w:rPr>
          <w:rFonts w:ascii="Times New Roman" w:hAnsi="Times New Roman"/>
          <w:sz w:val="24"/>
          <w:szCs w:val="24"/>
        </w:rPr>
        <w:t>)</w:t>
      </w:r>
      <w:r w:rsidR="00145383">
        <w:rPr>
          <w:rFonts w:ascii="Times New Roman" w:hAnsi="Times New Roman"/>
          <w:sz w:val="24"/>
          <w:szCs w:val="24"/>
        </w:rPr>
        <w:t xml:space="preserve">, </w:t>
      </w:r>
      <w:r w:rsidR="009920B3" w:rsidRPr="00145383">
        <w:rPr>
          <w:rFonts w:ascii="Times New Roman" w:hAnsi="Times New Roman"/>
          <w:sz w:val="24"/>
          <w:szCs w:val="24"/>
        </w:rPr>
        <w:t>la grande</w:t>
      </w:r>
      <w:r w:rsidR="009920B3">
        <w:rPr>
          <w:rFonts w:ascii="Times New Roman" w:hAnsi="Times New Roman"/>
          <w:sz w:val="24"/>
          <w:szCs w:val="24"/>
        </w:rPr>
        <w:t xml:space="preserve"> distribuzione il 4,6%</w:t>
      </w:r>
      <w:r w:rsidR="00463441">
        <w:rPr>
          <w:rFonts w:ascii="Times New Roman" w:hAnsi="Times New Roman"/>
          <w:sz w:val="24"/>
          <w:szCs w:val="24"/>
        </w:rPr>
        <w:t xml:space="preserve"> (</w:t>
      </w:r>
      <w:r w:rsidR="00145383">
        <w:rPr>
          <w:rFonts w:ascii="Times New Roman" w:hAnsi="Times New Roman"/>
          <w:sz w:val="24"/>
          <w:szCs w:val="24"/>
        </w:rPr>
        <w:t>in calo</w:t>
      </w:r>
      <w:r w:rsidR="00463441">
        <w:rPr>
          <w:rFonts w:ascii="Times New Roman" w:hAnsi="Times New Roman"/>
          <w:sz w:val="24"/>
          <w:szCs w:val="24"/>
        </w:rPr>
        <w:t>)</w:t>
      </w:r>
      <w:r w:rsidR="009920B3">
        <w:rPr>
          <w:rFonts w:ascii="Times New Roman" w:hAnsi="Times New Roman"/>
          <w:sz w:val="24"/>
          <w:szCs w:val="24"/>
        </w:rPr>
        <w:t>.</w:t>
      </w:r>
    </w:p>
    <w:p w14:paraId="573CBCA6" w14:textId="77777777" w:rsidR="00F93F92" w:rsidRDefault="00F93F92" w:rsidP="000C235E">
      <w:pPr>
        <w:ind w:left="-142" w:righ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ECF32D" w14:textId="21DA8568" w:rsidR="00EA5B5C" w:rsidRPr="00B539EA" w:rsidRDefault="00EA5B5C" w:rsidP="000C235E">
      <w:pPr>
        <w:ind w:left="-142" w:righ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B539EA">
        <w:rPr>
          <w:rFonts w:ascii="Times New Roman" w:hAnsi="Times New Roman"/>
          <w:b/>
          <w:bCs/>
          <w:sz w:val="24"/>
          <w:szCs w:val="24"/>
        </w:rPr>
        <w:t>La produzione</w:t>
      </w:r>
    </w:p>
    <w:p w14:paraId="1B32A275" w14:textId="2DA024DB" w:rsidR="00EA5B5C" w:rsidRPr="00B539EA" w:rsidRDefault="00277C89" w:rsidP="000C235E">
      <w:pPr>
        <w:ind w:left="-142" w:right="-142"/>
        <w:jc w:val="both"/>
        <w:rPr>
          <w:rFonts w:ascii="Times New Roman" w:eastAsia="Minion Pro" w:hAnsi="Times New Roman"/>
          <w:spacing w:val="-2"/>
          <w:sz w:val="24"/>
          <w:szCs w:val="24"/>
        </w:rPr>
      </w:pPr>
      <w:r w:rsidRPr="00B539EA">
        <w:rPr>
          <w:rFonts w:ascii="Times New Roman" w:hAnsi="Times New Roman"/>
          <w:sz w:val="24"/>
          <w:szCs w:val="24"/>
        </w:rPr>
        <w:t>Nel 202</w:t>
      </w:r>
      <w:r w:rsidR="000755DD">
        <w:rPr>
          <w:rFonts w:ascii="Times New Roman" w:hAnsi="Times New Roman"/>
          <w:sz w:val="24"/>
          <w:szCs w:val="24"/>
        </w:rPr>
        <w:t>3</w:t>
      </w:r>
      <w:r w:rsidRPr="00B539EA">
        <w:rPr>
          <w:rFonts w:ascii="Times New Roman" w:hAnsi="Times New Roman"/>
          <w:sz w:val="24"/>
          <w:szCs w:val="24"/>
        </w:rPr>
        <w:t xml:space="preserve"> sono stati pubblicati in Italia 8</w:t>
      </w:r>
      <w:r w:rsidR="006002C0">
        <w:rPr>
          <w:rFonts w:ascii="Times New Roman" w:hAnsi="Times New Roman"/>
          <w:sz w:val="24"/>
          <w:szCs w:val="24"/>
        </w:rPr>
        <w:t>5</w:t>
      </w:r>
      <w:r w:rsidRPr="00B539EA">
        <w:rPr>
          <w:rFonts w:ascii="Times New Roman" w:hAnsi="Times New Roman"/>
          <w:sz w:val="24"/>
          <w:szCs w:val="24"/>
        </w:rPr>
        <w:t>.</w:t>
      </w:r>
      <w:r w:rsidR="006002C0">
        <w:rPr>
          <w:rFonts w:ascii="Times New Roman" w:hAnsi="Times New Roman"/>
          <w:sz w:val="24"/>
          <w:szCs w:val="24"/>
        </w:rPr>
        <w:t>192</w:t>
      </w:r>
      <w:r w:rsidRPr="00B539EA">
        <w:rPr>
          <w:rFonts w:ascii="Times New Roman" w:hAnsi="Times New Roman"/>
          <w:sz w:val="24"/>
          <w:szCs w:val="24"/>
        </w:rPr>
        <w:t xml:space="preserve"> titoli di libri a stampa. La crescita della proposta annuale</w:t>
      </w:r>
      <w:r w:rsidR="001C4133">
        <w:rPr>
          <w:rFonts w:ascii="Times New Roman" w:hAnsi="Times New Roman"/>
          <w:sz w:val="24"/>
          <w:szCs w:val="24"/>
        </w:rPr>
        <w:t xml:space="preserve"> </w:t>
      </w:r>
      <w:r w:rsidR="009B50ED">
        <w:rPr>
          <w:rFonts w:ascii="Times New Roman" w:hAnsi="Times New Roman"/>
          <w:sz w:val="24"/>
          <w:szCs w:val="24"/>
        </w:rPr>
        <w:t>–</w:t>
      </w:r>
      <w:r w:rsidR="001C4133">
        <w:rPr>
          <w:rFonts w:ascii="Times New Roman" w:hAnsi="Times New Roman"/>
          <w:sz w:val="24"/>
          <w:szCs w:val="24"/>
        </w:rPr>
        <w:t xml:space="preserve"> </w:t>
      </w:r>
      <w:r w:rsidR="009B50ED">
        <w:rPr>
          <w:rFonts w:ascii="Times New Roman" w:hAnsi="Times New Roman"/>
          <w:sz w:val="24"/>
          <w:szCs w:val="24"/>
        </w:rPr>
        <w:t>triplicati rispetto al 1988 –</w:t>
      </w:r>
      <w:r w:rsidRPr="00B539EA">
        <w:rPr>
          <w:rFonts w:ascii="Times New Roman" w:hAnsi="Times New Roman"/>
          <w:sz w:val="24"/>
          <w:szCs w:val="24"/>
        </w:rPr>
        <w:t xml:space="preserve"> si accompagna all’ampliamento del catalogo vivo</w:t>
      </w:r>
      <w:r w:rsidR="00C86E19">
        <w:rPr>
          <w:rFonts w:ascii="Times New Roman" w:hAnsi="Times New Roman"/>
          <w:sz w:val="24"/>
          <w:szCs w:val="24"/>
        </w:rPr>
        <w:t>,</w:t>
      </w:r>
      <w:r w:rsidR="00464729" w:rsidRPr="00B539EA">
        <w:rPr>
          <w:rFonts w:ascii="Times New Roman" w:hAnsi="Times New Roman"/>
          <w:sz w:val="24"/>
          <w:szCs w:val="24"/>
        </w:rPr>
        <w:t xml:space="preserve"> oggi pari a </w:t>
      </w:r>
      <w:r w:rsidR="00464729" w:rsidRPr="00B539EA">
        <w:rPr>
          <w:rFonts w:ascii="Times New Roman" w:hAnsi="Times New Roman"/>
          <w:sz w:val="24"/>
          <w:szCs w:val="24"/>
        </w:rPr>
        <w:lastRenderedPageBreak/>
        <w:t>1</w:t>
      </w:r>
      <w:r w:rsidR="00A07A6C">
        <w:rPr>
          <w:rFonts w:ascii="Times New Roman" w:hAnsi="Times New Roman"/>
          <w:sz w:val="24"/>
          <w:szCs w:val="24"/>
        </w:rPr>
        <w:t>,5 milioni di</w:t>
      </w:r>
      <w:r w:rsidR="00464729" w:rsidRPr="00B539EA">
        <w:rPr>
          <w:rFonts w:ascii="Times New Roman" w:hAnsi="Times New Roman"/>
          <w:sz w:val="24"/>
          <w:szCs w:val="24"/>
        </w:rPr>
        <w:t xml:space="preserve"> titoli, </w:t>
      </w:r>
      <w:r w:rsidR="008E5C6A">
        <w:rPr>
          <w:rFonts w:ascii="Times New Roman" w:hAnsi="Times New Roman"/>
          <w:sz w:val="24"/>
          <w:szCs w:val="24"/>
        </w:rPr>
        <w:t xml:space="preserve">grazie </w:t>
      </w:r>
      <w:r w:rsidRPr="00B539EA">
        <w:rPr>
          <w:rFonts w:ascii="Times New Roman" w:hAnsi="Times New Roman"/>
          <w:sz w:val="24"/>
          <w:szCs w:val="24"/>
        </w:rPr>
        <w:t>alle possibilità fornite dal commercio elettronico</w:t>
      </w:r>
      <w:r w:rsidR="00464729" w:rsidRPr="00B539EA">
        <w:rPr>
          <w:rFonts w:ascii="Times New Roman" w:hAnsi="Times New Roman"/>
          <w:sz w:val="24"/>
          <w:szCs w:val="24"/>
        </w:rPr>
        <w:t xml:space="preserve"> di rispondere a una domanda sempre più frammentata e varia.</w:t>
      </w:r>
      <w:r w:rsidR="005354DF">
        <w:rPr>
          <w:rFonts w:ascii="Times New Roman" w:hAnsi="Times New Roman"/>
          <w:sz w:val="24"/>
          <w:szCs w:val="24"/>
        </w:rPr>
        <w:t xml:space="preserve"> </w:t>
      </w:r>
      <w:r w:rsidR="007829B6">
        <w:rPr>
          <w:rFonts w:ascii="Times New Roman" w:hAnsi="Times New Roman"/>
          <w:sz w:val="24"/>
          <w:szCs w:val="24"/>
        </w:rPr>
        <w:t>Degli oltre 85</w:t>
      </w:r>
      <w:r w:rsidR="00114BC9">
        <w:rPr>
          <w:rFonts w:ascii="Times New Roman" w:hAnsi="Times New Roman"/>
          <w:sz w:val="24"/>
          <w:szCs w:val="24"/>
        </w:rPr>
        <w:t xml:space="preserve"> </w:t>
      </w:r>
      <w:r w:rsidR="007829B6">
        <w:rPr>
          <w:rFonts w:ascii="Times New Roman" w:hAnsi="Times New Roman"/>
          <w:sz w:val="24"/>
          <w:szCs w:val="24"/>
        </w:rPr>
        <w:t>mila titoli pubblicati nel 2023</w:t>
      </w:r>
      <w:r w:rsidR="00114BC9">
        <w:rPr>
          <w:rFonts w:ascii="Times New Roman" w:hAnsi="Times New Roman"/>
          <w:sz w:val="24"/>
          <w:szCs w:val="24"/>
        </w:rPr>
        <w:t xml:space="preserve"> (di cui 13 mila autopubblicati), </w:t>
      </w:r>
      <w:r w:rsidR="00DE2504">
        <w:rPr>
          <w:rFonts w:ascii="Times New Roman" w:hAnsi="Times New Roman"/>
          <w:sz w:val="24"/>
          <w:szCs w:val="24"/>
        </w:rPr>
        <w:t xml:space="preserve">69 mila sono di editoria trade, 3.400 sono testi scolastici. </w:t>
      </w:r>
      <w:r w:rsidR="00CE31E8">
        <w:rPr>
          <w:rFonts w:ascii="Times New Roman" w:hAnsi="Times New Roman"/>
          <w:sz w:val="24"/>
          <w:szCs w:val="24"/>
        </w:rPr>
        <w:t>A questi numeri vanno aggiunti quelli della produzione digitale. Il catalogo degli e-book è oggi pari a 619 mila titoli</w:t>
      </w:r>
      <w:r w:rsidR="009850C0">
        <w:rPr>
          <w:rFonts w:ascii="Times New Roman" w:hAnsi="Times New Roman"/>
          <w:sz w:val="24"/>
          <w:szCs w:val="24"/>
        </w:rPr>
        <w:t>, 32 mila di questi disponibili in versione accessibile a persone cieche e ipovedenti cert</w:t>
      </w:r>
      <w:r w:rsidR="00913DCD">
        <w:rPr>
          <w:rFonts w:ascii="Times New Roman" w:hAnsi="Times New Roman"/>
          <w:sz w:val="24"/>
          <w:szCs w:val="24"/>
        </w:rPr>
        <w:t>ificata da Fondazione LIA – Libri Italiani Accessibili. Gli e-book prodotti nel 2023</w:t>
      </w:r>
      <w:r w:rsidR="004B23B3">
        <w:rPr>
          <w:rFonts w:ascii="Times New Roman" w:hAnsi="Times New Roman"/>
          <w:sz w:val="24"/>
          <w:szCs w:val="24"/>
        </w:rPr>
        <w:t xml:space="preserve"> sono 38.400, nel 60% dei casi si tratta della versione </w:t>
      </w:r>
      <w:r w:rsidR="00C53041">
        <w:rPr>
          <w:rFonts w:ascii="Times New Roman" w:hAnsi="Times New Roman"/>
          <w:sz w:val="24"/>
          <w:szCs w:val="24"/>
        </w:rPr>
        <w:t>digitale delle novità pubblicate a stampa.</w:t>
      </w:r>
    </w:p>
    <w:p w14:paraId="4BF09673" w14:textId="77777777" w:rsidR="007E68CC" w:rsidRPr="00B539EA" w:rsidRDefault="007E68CC" w:rsidP="000C235E">
      <w:pPr>
        <w:ind w:left="-142" w:right="-142"/>
        <w:jc w:val="both"/>
        <w:rPr>
          <w:rFonts w:ascii="Times New Roman" w:eastAsia="Minion Pro" w:hAnsi="Times New Roman"/>
          <w:spacing w:val="-2"/>
          <w:sz w:val="24"/>
          <w:szCs w:val="24"/>
        </w:rPr>
      </w:pPr>
    </w:p>
    <w:p w14:paraId="16AE30BC" w14:textId="3E7595CF" w:rsidR="007E68CC" w:rsidRDefault="007E68CC" w:rsidP="000C235E">
      <w:pPr>
        <w:ind w:left="-142" w:right="-142"/>
        <w:jc w:val="both"/>
        <w:rPr>
          <w:rFonts w:ascii="Times New Roman" w:eastAsia="Minion Pro" w:hAnsi="Times New Roman"/>
          <w:b/>
          <w:bCs/>
          <w:spacing w:val="-2"/>
          <w:sz w:val="24"/>
          <w:szCs w:val="24"/>
        </w:rPr>
      </w:pPr>
      <w:r w:rsidRPr="00B539EA">
        <w:rPr>
          <w:rFonts w:ascii="Times New Roman" w:eastAsia="Minion Pro" w:hAnsi="Times New Roman"/>
          <w:b/>
          <w:bCs/>
          <w:spacing w:val="-2"/>
          <w:sz w:val="24"/>
          <w:szCs w:val="24"/>
        </w:rPr>
        <w:t>Internazionalizzazione</w:t>
      </w:r>
    </w:p>
    <w:p w14:paraId="26A76252" w14:textId="7CA3A473" w:rsidR="00B11E9F" w:rsidRDefault="00781F23" w:rsidP="000C235E">
      <w:pPr>
        <w:ind w:left="-142" w:right="-142"/>
        <w:jc w:val="both"/>
        <w:rPr>
          <w:rFonts w:ascii="Times New Roman" w:eastAsia="Minion Pro" w:hAnsi="Times New Roman"/>
          <w:spacing w:val="-2"/>
          <w:sz w:val="24"/>
          <w:szCs w:val="24"/>
        </w:rPr>
      </w:pPr>
      <w:r w:rsidRPr="00781F23">
        <w:rPr>
          <w:rFonts w:ascii="Times New Roman" w:eastAsia="Minion Pro" w:hAnsi="Times New Roman"/>
          <w:spacing w:val="-2"/>
          <w:sz w:val="24"/>
          <w:szCs w:val="24"/>
        </w:rPr>
        <w:t>L’Italia del libro è impegnata da oltre vent’anni in un percorso</w:t>
      </w:r>
      <w:r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>di internazionalizzazione della sua editoria che</w:t>
      </w:r>
      <w:r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 xml:space="preserve">l’ha portata a più che quadruplicare i diritti di </w:t>
      </w:r>
      <w:r w:rsidR="00B11E9F">
        <w:rPr>
          <w:rFonts w:ascii="Times New Roman" w:eastAsia="Minion Pro" w:hAnsi="Times New Roman"/>
          <w:spacing w:val="-2"/>
          <w:sz w:val="24"/>
          <w:szCs w:val="24"/>
        </w:rPr>
        <w:t>traduzione</w:t>
      </w:r>
      <w:r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>venduti all’estero rispetto al 2001</w:t>
      </w:r>
      <w:r w:rsidR="00B11E9F">
        <w:rPr>
          <w:rFonts w:ascii="Times New Roman" w:eastAsia="Minion Pro" w:hAnsi="Times New Roman"/>
          <w:spacing w:val="-2"/>
          <w:sz w:val="24"/>
          <w:szCs w:val="24"/>
        </w:rPr>
        <w:t xml:space="preserve"> (1.800)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 xml:space="preserve"> e che, nel 2023, sono</w:t>
      </w:r>
      <w:r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 xml:space="preserve">stati 7.838. </w:t>
      </w:r>
      <w:r w:rsidR="00B11E9F">
        <w:rPr>
          <w:rFonts w:ascii="Times New Roman" w:eastAsia="Minion Pro" w:hAnsi="Times New Roman"/>
          <w:spacing w:val="-2"/>
          <w:sz w:val="24"/>
          <w:szCs w:val="24"/>
        </w:rPr>
        <w:t xml:space="preserve">I diritti di traduzione comprati all’estero erano 5.400 nel 2001 e sono stati 9.328 nel 2023. 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 xml:space="preserve">Le coedizioni con editori stranieri, </w:t>
      </w:r>
      <w:r w:rsidR="00B11E9F">
        <w:rPr>
          <w:rFonts w:ascii="Times New Roman" w:eastAsia="Minion Pro" w:hAnsi="Times New Roman"/>
          <w:spacing w:val="-2"/>
          <w:sz w:val="24"/>
          <w:szCs w:val="24"/>
        </w:rPr>
        <w:t>nel 2023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>, sono state pari a 1.845.</w:t>
      </w:r>
    </w:p>
    <w:p w14:paraId="0370CFEA" w14:textId="300EAD2C" w:rsidR="00781F23" w:rsidRPr="007C45EA" w:rsidRDefault="00781F23" w:rsidP="000C235E">
      <w:pPr>
        <w:ind w:left="-142" w:right="-142"/>
        <w:jc w:val="both"/>
        <w:rPr>
          <w:rFonts w:ascii="Times New Roman" w:eastAsia="Minion Pro" w:hAnsi="Times New Roman"/>
          <w:spacing w:val="-2"/>
          <w:sz w:val="24"/>
          <w:szCs w:val="24"/>
        </w:rPr>
      </w:pPr>
      <w:r w:rsidRPr="00781F23">
        <w:rPr>
          <w:rFonts w:ascii="Times New Roman" w:eastAsia="Minion Pro" w:hAnsi="Times New Roman"/>
          <w:spacing w:val="-2"/>
          <w:sz w:val="24"/>
          <w:szCs w:val="24"/>
        </w:rPr>
        <w:t>Il sistema Paese si avvale di sostegni alle traduzioni da</w:t>
      </w:r>
      <w:r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>parte del Ministero degli Esteri e della Cooperazione Internazionale</w:t>
      </w:r>
      <w:r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>e del Centro per il libro e la lettura pari a</w:t>
      </w:r>
      <w:r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Pr="00781F23">
        <w:rPr>
          <w:rFonts w:ascii="Times New Roman" w:eastAsia="Minion Pro" w:hAnsi="Times New Roman"/>
          <w:spacing w:val="-2"/>
          <w:sz w:val="24"/>
          <w:szCs w:val="24"/>
        </w:rPr>
        <w:t>circa un milione di euro l’anno</w:t>
      </w:r>
      <w:r w:rsidR="00BF4F07" w:rsidRPr="00BF4F07">
        <w:rPr>
          <w:rFonts w:ascii="Times New Roman" w:eastAsia="Minion Pro" w:hAnsi="Times New Roman"/>
          <w:spacing w:val="-2"/>
          <w:sz w:val="24"/>
          <w:szCs w:val="24"/>
        </w:rPr>
        <w:t>.</w:t>
      </w:r>
      <w:r w:rsidR="00BA17DE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BF4F07" w:rsidRPr="00BF4F07">
        <w:rPr>
          <w:rFonts w:ascii="Times New Roman" w:eastAsia="Minion Pro" w:hAnsi="Times New Roman"/>
          <w:spacing w:val="-2"/>
          <w:sz w:val="24"/>
          <w:szCs w:val="24"/>
        </w:rPr>
        <w:t>La visibilità all’estero è supportata attraverso un piano</w:t>
      </w:r>
      <w:r w:rsidR="00BA17DE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BF4F07" w:rsidRPr="00BF4F07">
        <w:rPr>
          <w:rFonts w:ascii="Times New Roman" w:eastAsia="Minion Pro" w:hAnsi="Times New Roman"/>
          <w:spacing w:val="-2"/>
          <w:sz w:val="24"/>
          <w:szCs w:val="24"/>
        </w:rPr>
        <w:t>annuale sviluppato da ICE – Agenzia per la promozione</w:t>
      </w:r>
      <w:r w:rsidR="00BA17DE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BF4F07" w:rsidRPr="00BF4F07">
        <w:rPr>
          <w:rFonts w:ascii="Times New Roman" w:eastAsia="Minion Pro" w:hAnsi="Times New Roman"/>
          <w:spacing w:val="-2"/>
          <w:sz w:val="24"/>
          <w:szCs w:val="24"/>
        </w:rPr>
        <w:t>all’estero e l’internazionalizzazione delle imprese italiane,</w:t>
      </w:r>
      <w:r w:rsidR="00BA17DE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BF4F07" w:rsidRPr="00BF4F07">
        <w:rPr>
          <w:rFonts w:ascii="Times New Roman" w:eastAsia="Minion Pro" w:hAnsi="Times New Roman"/>
          <w:spacing w:val="-2"/>
          <w:sz w:val="24"/>
          <w:szCs w:val="24"/>
        </w:rPr>
        <w:t>in collaborazione con AIE, che include partecipazioni</w:t>
      </w:r>
      <w:r w:rsidR="00BA17DE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BF4F07" w:rsidRPr="00BF4F07">
        <w:rPr>
          <w:rFonts w:ascii="Times New Roman" w:eastAsia="Minion Pro" w:hAnsi="Times New Roman"/>
          <w:spacing w:val="-2"/>
          <w:sz w:val="24"/>
          <w:szCs w:val="24"/>
        </w:rPr>
        <w:t>a fiere estere e azioni di incoming alle principali manifestazioni</w:t>
      </w:r>
      <w:r w:rsidR="00BA17DE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BF4F07" w:rsidRPr="00BF4F07">
        <w:rPr>
          <w:rFonts w:ascii="Times New Roman" w:eastAsia="Minion Pro" w:hAnsi="Times New Roman"/>
          <w:spacing w:val="-2"/>
          <w:sz w:val="24"/>
          <w:szCs w:val="24"/>
        </w:rPr>
        <w:t>fieristiche italiane.</w:t>
      </w:r>
      <w:r w:rsidR="00834D02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 xml:space="preserve">L’Italia, dove ogni anno si tiene la Bologna </w:t>
      </w:r>
      <w:proofErr w:type="spellStart"/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Children’s</w:t>
      </w:r>
      <w:proofErr w:type="spellEnd"/>
      <w:r w:rsidR="00834D02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Book Fair, vende all’estero soprattutto diritti di edizione</w:t>
      </w:r>
      <w:r w:rsidR="00834D02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di titoli per bambini e ragazzi, 2.325 nell’ultimo anno.</w:t>
      </w:r>
      <w:r w:rsidR="006F11B8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Anche la maggior parte di coedizioni internazionali, ovvero</w:t>
      </w:r>
      <w:r w:rsidR="006F11B8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1.350 su 1.845, si concentra in questo settore.</w:t>
      </w:r>
      <w:r w:rsidR="00FA36CD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Nella classifica per generi dei diritti di titoli più venduti</w:t>
      </w:r>
      <w:r w:rsidR="006F11B8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all’estero seguono narrativa</w:t>
      </w:r>
      <w:r w:rsidR="006F11B8">
        <w:rPr>
          <w:rFonts w:ascii="Times New Roman" w:eastAsia="Minion Pro" w:hAnsi="Times New Roman"/>
          <w:spacing w:val="-2"/>
          <w:sz w:val="24"/>
          <w:szCs w:val="24"/>
        </w:rPr>
        <w:t xml:space="preserve"> (1.951)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, saggistica generale</w:t>
      </w:r>
      <w:r w:rsidR="0060693B">
        <w:rPr>
          <w:rFonts w:ascii="Times New Roman" w:eastAsia="Minion Pro" w:hAnsi="Times New Roman"/>
          <w:spacing w:val="-2"/>
          <w:sz w:val="24"/>
          <w:szCs w:val="24"/>
        </w:rPr>
        <w:t xml:space="preserve"> (1.420)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 xml:space="preserve"> e specializzata</w:t>
      </w:r>
      <w:r w:rsidR="0060693B">
        <w:rPr>
          <w:rFonts w:ascii="Times New Roman" w:eastAsia="Minion Pro" w:hAnsi="Times New Roman"/>
          <w:spacing w:val="-2"/>
          <w:sz w:val="24"/>
          <w:szCs w:val="24"/>
        </w:rPr>
        <w:t xml:space="preserve"> (986)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e poi, ancora, libri di religione</w:t>
      </w:r>
      <w:r w:rsidR="0060693B">
        <w:rPr>
          <w:rFonts w:ascii="Times New Roman" w:eastAsia="Minion Pro" w:hAnsi="Times New Roman"/>
          <w:spacing w:val="-2"/>
          <w:sz w:val="24"/>
          <w:szCs w:val="24"/>
        </w:rPr>
        <w:t xml:space="preserve"> (429)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, manualistica</w:t>
      </w:r>
      <w:r w:rsidR="00FA36CD">
        <w:rPr>
          <w:rFonts w:ascii="Times New Roman" w:eastAsia="Minion Pro" w:hAnsi="Times New Roman"/>
          <w:spacing w:val="-2"/>
          <w:sz w:val="24"/>
          <w:szCs w:val="24"/>
        </w:rPr>
        <w:t xml:space="preserve"> p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ratica</w:t>
      </w:r>
      <w:r w:rsidR="0060693B">
        <w:rPr>
          <w:rFonts w:ascii="Times New Roman" w:eastAsia="Minion Pro" w:hAnsi="Times New Roman"/>
          <w:spacing w:val="-2"/>
          <w:sz w:val="24"/>
          <w:szCs w:val="24"/>
        </w:rPr>
        <w:t xml:space="preserve"> (410)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, fumetti</w:t>
      </w:r>
      <w:r w:rsidR="0060693B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7C45EA">
        <w:rPr>
          <w:rFonts w:ascii="Times New Roman" w:eastAsia="Minion Pro" w:hAnsi="Times New Roman"/>
          <w:spacing w:val="-2"/>
          <w:sz w:val="24"/>
          <w:szCs w:val="24"/>
        </w:rPr>
        <w:t>(291)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, libri d’arte e illustrati</w:t>
      </w:r>
      <w:r w:rsidR="007C45EA">
        <w:rPr>
          <w:rFonts w:ascii="Times New Roman" w:eastAsia="Minion Pro" w:hAnsi="Times New Roman"/>
          <w:spacing w:val="-2"/>
          <w:sz w:val="24"/>
          <w:szCs w:val="24"/>
        </w:rPr>
        <w:t xml:space="preserve"> (26)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.</w:t>
      </w:r>
      <w:r w:rsidR="007C45EA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Se guardiamo invece alle aree geografiche, la vendita di</w:t>
      </w:r>
      <w:r w:rsidR="007C45EA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diritti verso altri Paesi europei è la maggioranza assoluta,</w:t>
      </w:r>
      <w:r w:rsidR="007C45EA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con il 65,8% dei contratti siglati. Segue l’Asia (15,3%),</w:t>
      </w:r>
      <w:r w:rsidR="007C45EA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il Medio Oriente (6,1%), il Sud America (5,8%), il Nord</w:t>
      </w:r>
      <w:r w:rsidR="007C45EA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America (3,6%), l'Africa (1%) e il Pacifico (0,6%).</w:t>
      </w:r>
      <w:r w:rsidR="007C45EA">
        <w:rPr>
          <w:rFonts w:ascii="Times New Roman" w:eastAsia="Minion Pro" w:hAnsi="Times New Roman"/>
          <w:spacing w:val="-2"/>
          <w:sz w:val="24"/>
          <w:szCs w:val="24"/>
        </w:rPr>
        <w:t xml:space="preserve"> </w:t>
      </w:r>
      <w:r w:rsidR="00834D02" w:rsidRPr="00834D02">
        <w:rPr>
          <w:rFonts w:ascii="Times New Roman" w:eastAsia="Minion Pro" w:hAnsi="Times New Roman"/>
          <w:spacing w:val="-2"/>
          <w:sz w:val="24"/>
          <w:szCs w:val="24"/>
        </w:rPr>
        <w:t>Nell’1,7% dei casi l’area geografica non è indicata</w:t>
      </w:r>
      <w:r w:rsidR="004C34BF">
        <w:rPr>
          <w:rFonts w:ascii="Times New Roman" w:eastAsia="Minion Pro" w:hAnsi="Times New Roman"/>
          <w:spacing w:val="-2"/>
          <w:sz w:val="24"/>
          <w:szCs w:val="24"/>
        </w:rPr>
        <w:t>.</w:t>
      </w:r>
    </w:p>
    <w:p w14:paraId="583DDBA9" w14:textId="77777777" w:rsidR="008E5292" w:rsidRPr="00B539EA" w:rsidRDefault="008E5292" w:rsidP="000C235E">
      <w:pPr>
        <w:ind w:left="-142" w:right="-142"/>
        <w:jc w:val="both"/>
        <w:rPr>
          <w:rFonts w:ascii="Times New Roman" w:eastAsia="Minion Pro" w:hAnsi="Times New Roman"/>
          <w:spacing w:val="-2"/>
          <w:sz w:val="24"/>
          <w:szCs w:val="24"/>
        </w:rPr>
      </w:pPr>
    </w:p>
    <w:p w14:paraId="5E7B19BE" w14:textId="758CEE67" w:rsidR="004D56F2" w:rsidRPr="00B539EA" w:rsidRDefault="004D56F2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B539EA">
        <w:rPr>
          <w:rFonts w:ascii="Times New Roman" w:hAnsi="Times New Roman"/>
          <w:b/>
          <w:bCs/>
          <w:sz w:val="24"/>
          <w:szCs w:val="24"/>
        </w:rPr>
        <w:t>La lettura</w:t>
      </w:r>
      <w:r w:rsidR="00004A0E">
        <w:rPr>
          <w:rFonts w:ascii="Times New Roman" w:hAnsi="Times New Roman"/>
          <w:b/>
          <w:bCs/>
          <w:sz w:val="24"/>
          <w:szCs w:val="24"/>
        </w:rPr>
        <w:t xml:space="preserve"> e le abitudini di acquisto</w:t>
      </w:r>
      <w:r w:rsidR="00E76C4B" w:rsidRPr="00B539E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4C88051" w14:textId="10BCC00A" w:rsidR="004D56F2" w:rsidRPr="00B539EA" w:rsidRDefault="0007281C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B539EA">
        <w:rPr>
          <w:rFonts w:ascii="Times New Roman" w:hAnsi="Times New Roman"/>
          <w:sz w:val="24"/>
          <w:szCs w:val="24"/>
        </w:rPr>
        <w:t xml:space="preserve">Secondo </w:t>
      </w:r>
      <w:r w:rsidR="008E432B">
        <w:rPr>
          <w:rFonts w:ascii="Times New Roman" w:hAnsi="Times New Roman"/>
          <w:sz w:val="24"/>
          <w:szCs w:val="24"/>
        </w:rPr>
        <w:t>l’Osservatorio c</w:t>
      </w:r>
      <w:r w:rsidRPr="00B539EA">
        <w:rPr>
          <w:rFonts w:ascii="Times New Roman" w:hAnsi="Times New Roman"/>
          <w:sz w:val="24"/>
          <w:szCs w:val="24"/>
        </w:rPr>
        <w:t>ondott</w:t>
      </w:r>
      <w:r w:rsidR="008E432B">
        <w:rPr>
          <w:rFonts w:ascii="Times New Roman" w:hAnsi="Times New Roman"/>
          <w:sz w:val="24"/>
          <w:szCs w:val="24"/>
        </w:rPr>
        <w:t>o</w:t>
      </w:r>
      <w:r w:rsidRPr="00B539EA">
        <w:rPr>
          <w:rFonts w:ascii="Times New Roman" w:hAnsi="Times New Roman"/>
          <w:sz w:val="24"/>
          <w:szCs w:val="24"/>
        </w:rPr>
        <w:t xml:space="preserve"> da Pepe </w:t>
      </w:r>
      <w:proofErr w:type="spellStart"/>
      <w:r w:rsidRPr="00B539EA">
        <w:rPr>
          <w:rFonts w:ascii="Times New Roman" w:hAnsi="Times New Roman"/>
          <w:sz w:val="24"/>
          <w:szCs w:val="24"/>
        </w:rPr>
        <w:t>Research</w:t>
      </w:r>
      <w:proofErr w:type="spellEnd"/>
      <w:r w:rsidRPr="00B539EA">
        <w:rPr>
          <w:rFonts w:ascii="Times New Roman" w:hAnsi="Times New Roman"/>
          <w:sz w:val="24"/>
          <w:szCs w:val="24"/>
        </w:rPr>
        <w:t xml:space="preserve"> per AIE, n</w:t>
      </w:r>
      <w:r w:rsidR="00B30AA3" w:rsidRPr="00B539EA">
        <w:rPr>
          <w:rFonts w:ascii="Times New Roman" w:hAnsi="Times New Roman"/>
          <w:sz w:val="24"/>
          <w:szCs w:val="24"/>
        </w:rPr>
        <w:t>el 202</w:t>
      </w:r>
      <w:r w:rsidR="007C2E23">
        <w:rPr>
          <w:rFonts w:ascii="Times New Roman" w:hAnsi="Times New Roman"/>
          <w:sz w:val="24"/>
          <w:szCs w:val="24"/>
        </w:rPr>
        <w:t>3</w:t>
      </w:r>
      <w:r w:rsidR="00B30AA3" w:rsidRPr="00B539EA">
        <w:rPr>
          <w:rFonts w:ascii="Times New Roman" w:hAnsi="Times New Roman"/>
          <w:sz w:val="24"/>
          <w:szCs w:val="24"/>
        </w:rPr>
        <w:t xml:space="preserve"> sono il 7</w:t>
      </w:r>
      <w:r w:rsidR="007C2E23">
        <w:rPr>
          <w:rFonts w:ascii="Times New Roman" w:hAnsi="Times New Roman"/>
          <w:sz w:val="24"/>
          <w:szCs w:val="24"/>
        </w:rPr>
        <w:t>4%</w:t>
      </w:r>
      <w:r w:rsidR="00B30AA3" w:rsidRPr="00B539EA">
        <w:rPr>
          <w:rFonts w:ascii="Times New Roman" w:hAnsi="Times New Roman"/>
          <w:sz w:val="24"/>
          <w:szCs w:val="24"/>
        </w:rPr>
        <w:t xml:space="preserve"> </w:t>
      </w:r>
      <w:r w:rsidR="0071083D" w:rsidRPr="00B539EA">
        <w:rPr>
          <w:rFonts w:ascii="Times New Roman" w:hAnsi="Times New Roman"/>
          <w:sz w:val="24"/>
          <w:szCs w:val="24"/>
        </w:rPr>
        <w:t>i cittadini</w:t>
      </w:r>
      <w:r w:rsidR="00B30AA3" w:rsidRPr="00B539EA">
        <w:rPr>
          <w:rFonts w:ascii="Times New Roman" w:hAnsi="Times New Roman"/>
          <w:sz w:val="24"/>
          <w:szCs w:val="24"/>
        </w:rPr>
        <w:t xml:space="preserve"> tra i 15 e i 74 anni che dichiarano di aver letto almeno un libro, di carta o elettronico, oppure ascoltato un audiolibro negli ultimi 12 mesi.</w:t>
      </w:r>
      <w:r w:rsidR="006A561B">
        <w:rPr>
          <w:rFonts w:ascii="Times New Roman" w:hAnsi="Times New Roman"/>
          <w:sz w:val="24"/>
          <w:szCs w:val="24"/>
        </w:rPr>
        <w:t xml:space="preserve"> </w:t>
      </w:r>
      <w:r w:rsidR="00563B7A" w:rsidRPr="00B539EA">
        <w:rPr>
          <w:rFonts w:ascii="Times New Roman" w:hAnsi="Times New Roman"/>
          <w:sz w:val="24"/>
          <w:szCs w:val="24"/>
        </w:rPr>
        <w:t>In particolare, nel 202</w:t>
      </w:r>
      <w:r w:rsidR="006A561B">
        <w:rPr>
          <w:rFonts w:ascii="Times New Roman" w:hAnsi="Times New Roman"/>
          <w:sz w:val="24"/>
          <w:szCs w:val="24"/>
        </w:rPr>
        <w:t>3</w:t>
      </w:r>
      <w:r w:rsidR="00563B7A" w:rsidRPr="00B539EA">
        <w:rPr>
          <w:rFonts w:ascii="Times New Roman" w:hAnsi="Times New Roman"/>
          <w:sz w:val="24"/>
          <w:szCs w:val="24"/>
        </w:rPr>
        <w:t xml:space="preserve"> l</w:t>
      </w:r>
      <w:r w:rsidR="006B4F60" w:rsidRPr="00B539EA">
        <w:rPr>
          <w:rFonts w:ascii="Times New Roman" w:hAnsi="Times New Roman"/>
          <w:sz w:val="24"/>
          <w:szCs w:val="24"/>
        </w:rPr>
        <w:t xml:space="preserve">egge </w:t>
      </w:r>
      <w:r w:rsidR="006A561B">
        <w:rPr>
          <w:rFonts w:ascii="Times New Roman" w:hAnsi="Times New Roman"/>
          <w:sz w:val="24"/>
          <w:szCs w:val="24"/>
        </w:rPr>
        <w:t>l’82%</w:t>
      </w:r>
      <w:r w:rsidR="00D120EF" w:rsidRPr="00B539EA">
        <w:rPr>
          <w:rFonts w:ascii="Times New Roman" w:hAnsi="Times New Roman"/>
          <w:sz w:val="24"/>
          <w:szCs w:val="24"/>
        </w:rPr>
        <w:t xml:space="preserve"> del campione</w:t>
      </w:r>
      <w:r w:rsidR="006B4F60" w:rsidRPr="00B539EA">
        <w:rPr>
          <w:rFonts w:ascii="Times New Roman" w:hAnsi="Times New Roman"/>
          <w:sz w:val="24"/>
          <w:szCs w:val="24"/>
        </w:rPr>
        <w:t xml:space="preserve"> nella fascia 15-17</w:t>
      </w:r>
      <w:r w:rsidR="00563B7A" w:rsidRPr="00B539EA">
        <w:rPr>
          <w:rFonts w:ascii="Times New Roman" w:hAnsi="Times New Roman"/>
          <w:sz w:val="24"/>
          <w:szCs w:val="24"/>
        </w:rPr>
        <w:t xml:space="preserve"> anni</w:t>
      </w:r>
      <w:r w:rsidR="006B4F60" w:rsidRPr="00B539EA">
        <w:rPr>
          <w:rFonts w:ascii="Times New Roman" w:hAnsi="Times New Roman"/>
          <w:sz w:val="24"/>
          <w:szCs w:val="24"/>
        </w:rPr>
        <w:t xml:space="preserve">, </w:t>
      </w:r>
      <w:r w:rsidR="002D31E2">
        <w:rPr>
          <w:rFonts w:ascii="Times New Roman" w:hAnsi="Times New Roman"/>
          <w:sz w:val="24"/>
          <w:szCs w:val="24"/>
        </w:rPr>
        <w:t>il 78% tra i 18 e i 24 anni, l’82%</w:t>
      </w:r>
      <w:r w:rsidR="006B4F60" w:rsidRPr="00B539EA">
        <w:rPr>
          <w:rFonts w:ascii="Times New Roman" w:hAnsi="Times New Roman"/>
          <w:sz w:val="24"/>
          <w:szCs w:val="24"/>
        </w:rPr>
        <w:t xml:space="preserve"> tra i 25 e i 34 anni, </w:t>
      </w:r>
      <w:r w:rsidR="002D31E2">
        <w:rPr>
          <w:rFonts w:ascii="Times New Roman" w:hAnsi="Times New Roman"/>
          <w:sz w:val="24"/>
          <w:szCs w:val="24"/>
        </w:rPr>
        <w:t>l’80%</w:t>
      </w:r>
      <w:r w:rsidR="006B4F60" w:rsidRPr="00B539EA">
        <w:rPr>
          <w:rFonts w:ascii="Times New Roman" w:hAnsi="Times New Roman"/>
          <w:sz w:val="24"/>
          <w:szCs w:val="24"/>
        </w:rPr>
        <w:t xml:space="preserve"> tra i 35 e i 44 anni, </w:t>
      </w:r>
      <w:r w:rsidR="007766CF">
        <w:rPr>
          <w:rFonts w:ascii="Times New Roman" w:hAnsi="Times New Roman"/>
          <w:sz w:val="24"/>
          <w:szCs w:val="24"/>
        </w:rPr>
        <w:t>il 71</w:t>
      </w:r>
      <w:r w:rsidR="006B4F60" w:rsidRPr="00B539EA">
        <w:rPr>
          <w:rFonts w:ascii="Times New Roman" w:hAnsi="Times New Roman"/>
          <w:sz w:val="24"/>
          <w:szCs w:val="24"/>
        </w:rPr>
        <w:t>% nella fascia 45-54</w:t>
      </w:r>
      <w:r w:rsidR="00563B7A" w:rsidRPr="00B539EA">
        <w:rPr>
          <w:rFonts w:ascii="Times New Roman" w:hAnsi="Times New Roman"/>
          <w:sz w:val="24"/>
          <w:szCs w:val="24"/>
        </w:rPr>
        <w:t xml:space="preserve"> anni</w:t>
      </w:r>
      <w:r w:rsidR="006B4F60" w:rsidRPr="00B539EA">
        <w:rPr>
          <w:rFonts w:ascii="Times New Roman" w:hAnsi="Times New Roman"/>
          <w:sz w:val="24"/>
          <w:szCs w:val="24"/>
        </w:rPr>
        <w:t xml:space="preserve">, </w:t>
      </w:r>
      <w:r w:rsidR="007766CF">
        <w:rPr>
          <w:rFonts w:ascii="Times New Roman" w:hAnsi="Times New Roman"/>
          <w:sz w:val="24"/>
          <w:szCs w:val="24"/>
        </w:rPr>
        <w:t>il 65</w:t>
      </w:r>
      <w:r w:rsidR="006B4F60" w:rsidRPr="00B539EA">
        <w:rPr>
          <w:rFonts w:ascii="Times New Roman" w:hAnsi="Times New Roman"/>
          <w:sz w:val="24"/>
          <w:szCs w:val="24"/>
        </w:rPr>
        <w:t>% tra i 55 e i 64</w:t>
      </w:r>
      <w:r w:rsidR="00563B7A" w:rsidRPr="00B539EA">
        <w:rPr>
          <w:rFonts w:ascii="Times New Roman" w:hAnsi="Times New Roman"/>
          <w:sz w:val="24"/>
          <w:szCs w:val="24"/>
        </w:rPr>
        <w:t xml:space="preserve"> anni</w:t>
      </w:r>
      <w:r w:rsidR="007766CF">
        <w:rPr>
          <w:rFonts w:ascii="Times New Roman" w:hAnsi="Times New Roman"/>
          <w:sz w:val="24"/>
          <w:szCs w:val="24"/>
        </w:rPr>
        <w:t>, il</w:t>
      </w:r>
      <w:r w:rsidR="006B4F60" w:rsidRPr="00B539EA">
        <w:rPr>
          <w:rFonts w:ascii="Times New Roman" w:hAnsi="Times New Roman"/>
          <w:sz w:val="24"/>
          <w:szCs w:val="24"/>
        </w:rPr>
        <w:t xml:space="preserve"> </w:t>
      </w:r>
      <w:r w:rsidR="007766CF">
        <w:rPr>
          <w:rFonts w:ascii="Times New Roman" w:hAnsi="Times New Roman"/>
          <w:sz w:val="24"/>
          <w:szCs w:val="24"/>
        </w:rPr>
        <w:t>72</w:t>
      </w:r>
      <w:r w:rsidR="006B4F60" w:rsidRPr="00B539EA">
        <w:rPr>
          <w:rFonts w:ascii="Times New Roman" w:hAnsi="Times New Roman"/>
          <w:sz w:val="24"/>
          <w:szCs w:val="24"/>
        </w:rPr>
        <w:t>% tra i 65 e i 74 anni</w:t>
      </w:r>
      <w:r w:rsidR="0071083D" w:rsidRPr="00B539EA">
        <w:rPr>
          <w:rFonts w:ascii="Times New Roman" w:hAnsi="Times New Roman"/>
          <w:sz w:val="24"/>
          <w:szCs w:val="24"/>
        </w:rPr>
        <w:t>.</w:t>
      </w:r>
    </w:p>
    <w:p w14:paraId="3CAD5BF8" w14:textId="23AF6425" w:rsidR="00527256" w:rsidRDefault="00527256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527256">
        <w:rPr>
          <w:rFonts w:ascii="Times New Roman" w:hAnsi="Times New Roman"/>
          <w:sz w:val="24"/>
          <w:szCs w:val="24"/>
        </w:rPr>
        <w:t>La lettura, nonostante la concorrenza di serie tv, videogiochi,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256">
        <w:rPr>
          <w:rFonts w:ascii="Times New Roman" w:hAnsi="Times New Roman"/>
          <w:sz w:val="24"/>
          <w:szCs w:val="24"/>
        </w:rPr>
        <w:t>social network, rimane un’abitudine quotidiana per più di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256">
        <w:rPr>
          <w:rFonts w:ascii="Times New Roman" w:hAnsi="Times New Roman"/>
          <w:sz w:val="24"/>
          <w:szCs w:val="24"/>
        </w:rPr>
        <w:t>lettore su quattro (il 28%), una pratica almeno settimanale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256">
        <w:rPr>
          <w:rFonts w:ascii="Times New Roman" w:hAnsi="Times New Roman"/>
          <w:sz w:val="24"/>
          <w:szCs w:val="24"/>
        </w:rPr>
        <w:t>il 67%. Quattro ore e 18 minuti è il tempo medio settimanale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256">
        <w:rPr>
          <w:rFonts w:ascii="Times New Roman" w:hAnsi="Times New Roman"/>
          <w:sz w:val="24"/>
          <w:szCs w:val="24"/>
        </w:rPr>
        <w:t>dedicato alla lettura e per un lettore su cinque il libro è un’abitudine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256">
        <w:rPr>
          <w:rFonts w:ascii="Times New Roman" w:hAnsi="Times New Roman"/>
          <w:sz w:val="24"/>
          <w:szCs w:val="24"/>
        </w:rPr>
        <w:t>a cui dedica più di cinque ore di tempo alla settimana.</w:t>
      </w:r>
    </w:p>
    <w:p w14:paraId="178D5D22" w14:textId="0C8FB445" w:rsidR="006E0ABF" w:rsidRPr="00B539EA" w:rsidRDefault="00D528CC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B539EA">
        <w:rPr>
          <w:rFonts w:ascii="Times New Roman" w:hAnsi="Times New Roman"/>
          <w:sz w:val="24"/>
          <w:szCs w:val="24"/>
        </w:rPr>
        <w:t>Chi ha comprato almeno un libro a stampa nel 202</w:t>
      </w:r>
      <w:r w:rsidR="00E97EF4">
        <w:rPr>
          <w:rFonts w:ascii="Times New Roman" w:hAnsi="Times New Roman"/>
          <w:sz w:val="24"/>
          <w:szCs w:val="24"/>
        </w:rPr>
        <w:t>3</w:t>
      </w:r>
      <w:r w:rsidRPr="00B539EA">
        <w:rPr>
          <w:rFonts w:ascii="Times New Roman" w:hAnsi="Times New Roman"/>
          <w:sz w:val="24"/>
          <w:szCs w:val="24"/>
        </w:rPr>
        <w:t xml:space="preserve"> è il </w:t>
      </w:r>
      <w:r w:rsidR="008721FC">
        <w:rPr>
          <w:rFonts w:ascii="Times New Roman" w:hAnsi="Times New Roman"/>
          <w:sz w:val="24"/>
          <w:szCs w:val="24"/>
        </w:rPr>
        <w:t>65</w:t>
      </w:r>
      <w:r w:rsidRPr="00B539EA">
        <w:rPr>
          <w:rFonts w:ascii="Times New Roman" w:hAnsi="Times New Roman"/>
          <w:sz w:val="24"/>
          <w:szCs w:val="24"/>
        </w:rPr>
        <w:t>% dei 15-74enni</w:t>
      </w:r>
      <w:r w:rsidR="003C0153">
        <w:rPr>
          <w:rFonts w:ascii="Times New Roman" w:hAnsi="Times New Roman"/>
          <w:sz w:val="24"/>
          <w:szCs w:val="24"/>
        </w:rPr>
        <w:t>, con una forte disparità di genere</w:t>
      </w:r>
      <w:r w:rsidR="00E97EF4">
        <w:rPr>
          <w:rFonts w:ascii="Times New Roman" w:hAnsi="Times New Roman"/>
          <w:sz w:val="24"/>
          <w:szCs w:val="24"/>
        </w:rPr>
        <w:t xml:space="preserve">. Nel caso delle donne, sono acquirenti di libri </w:t>
      </w:r>
      <w:r w:rsidR="008F245F">
        <w:rPr>
          <w:rFonts w:ascii="Times New Roman" w:hAnsi="Times New Roman"/>
          <w:sz w:val="24"/>
          <w:szCs w:val="24"/>
        </w:rPr>
        <w:t>il 71%</w:t>
      </w:r>
      <w:r w:rsidR="003C0153">
        <w:rPr>
          <w:rFonts w:ascii="Times New Roman" w:hAnsi="Times New Roman"/>
          <w:sz w:val="24"/>
          <w:szCs w:val="24"/>
        </w:rPr>
        <w:t xml:space="preserve"> del totale</w:t>
      </w:r>
      <w:r w:rsidR="008F245F">
        <w:rPr>
          <w:rFonts w:ascii="Times New Roman" w:hAnsi="Times New Roman"/>
          <w:sz w:val="24"/>
          <w:szCs w:val="24"/>
        </w:rPr>
        <w:t xml:space="preserve">, </w:t>
      </w:r>
      <w:r w:rsidR="003C0153">
        <w:rPr>
          <w:rFonts w:ascii="Times New Roman" w:hAnsi="Times New Roman"/>
          <w:sz w:val="24"/>
          <w:szCs w:val="24"/>
        </w:rPr>
        <w:t>nel caso de</w:t>
      </w:r>
      <w:r w:rsidR="008F245F">
        <w:rPr>
          <w:rFonts w:ascii="Times New Roman" w:hAnsi="Times New Roman"/>
          <w:sz w:val="24"/>
          <w:szCs w:val="24"/>
        </w:rPr>
        <w:t>gli uomini il 59%</w:t>
      </w:r>
      <w:r w:rsidR="003C0153">
        <w:rPr>
          <w:rFonts w:ascii="Times New Roman" w:hAnsi="Times New Roman"/>
          <w:sz w:val="24"/>
          <w:szCs w:val="24"/>
        </w:rPr>
        <w:t xml:space="preserve"> del totale</w:t>
      </w:r>
      <w:r w:rsidRPr="00B539EA">
        <w:rPr>
          <w:rFonts w:ascii="Times New Roman" w:hAnsi="Times New Roman"/>
          <w:sz w:val="24"/>
          <w:szCs w:val="24"/>
        </w:rPr>
        <w:t>.</w:t>
      </w:r>
    </w:p>
    <w:p w14:paraId="6F73A94F" w14:textId="4537AD72" w:rsidR="17AD1994" w:rsidRPr="00B539EA" w:rsidRDefault="17AD1994" w:rsidP="000C235E">
      <w:pPr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14:paraId="6FAC01D6" w14:textId="3219F5B4" w:rsidR="00E33017" w:rsidRPr="000C235E" w:rsidRDefault="50F5A11E" w:rsidP="000C235E">
      <w:pPr>
        <w:ind w:left="-142" w:right="-142"/>
        <w:jc w:val="both"/>
        <w:rPr>
          <w:rFonts w:ascii="Times New Roman" w:hAnsi="Times New Roman"/>
          <w:i/>
          <w:iCs/>
          <w:sz w:val="24"/>
          <w:szCs w:val="24"/>
        </w:rPr>
      </w:pPr>
      <w:r w:rsidRPr="00B539EA">
        <w:rPr>
          <w:rFonts w:ascii="Times New Roman" w:hAnsi="Times New Roman"/>
          <w:i/>
          <w:iCs/>
          <w:sz w:val="24"/>
          <w:szCs w:val="24"/>
        </w:rPr>
        <w:t>Il Rapporto sullo stato dell’editoria in Italia 202</w:t>
      </w:r>
      <w:r w:rsidR="00004A0E">
        <w:rPr>
          <w:rFonts w:ascii="Times New Roman" w:hAnsi="Times New Roman"/>
          <w:i/>
          <w:iCs/>
          <w:sz w:val="24"/>
          <w:szCs w:val="24"/>
        </w:rPr>
        <w:t>4</w:t>
      </w:r>
      <w:r w:rsidRPr="00B539EA">
        <w:rPr>
          <w:rFonts w:ascii="Times New Roman" w:hAnsi="Times New Roman"/>
          <w:i/>
          <w:iCs/>
          <w:sz w:val="24"/>
          <w:szCs w:val="24"/>
        </w:rPr>
        <w:t xml:space="preserve"> è disponibile per la vendita in formato </w:t>
      </w:r>
      <w:r w:rsidR="00D528CC" w:rsidRPr="00B539EA">
        <w:rPr>
          <w:rFonts w:ascii="Times New Roman" w:hAnsi="Times New Roman"/>
          <w:i/>
          <w:iCs/>
          <w:sz w:val="24"/>
          <w:szCs w:val="24"/>
        </w:rPr>
        <w:t>EPUB</w:t>
      </w:r>
      <w:r w:rsidR="00AB0A2E">
        <w:rPr>
          <w:rFonts w:ascii="Times New Roman" w:hAnsi="Times New Roman"/>
          <w:i/>
          <w:iCs/>
          <w:sz w:val="24"/>
          <w:szCs w:val="24"/>
        </w:rPr>
        <w:t xml:space="preserve"> e PDF</w:t>
      </w:r>
      <w:r w:rsidRPr="00B539EA">
        <w:rPr>
          <w:rFonts w:ascii="Times New Roman" w:hAnsi="Times New Roman"/>
          <w:i/>
          <w:iCs/>
          <w:sz w:val="24"/>
          <w:szCs w:val="24"/>
        </w:rPr>
        <w:t xml:space="preserve"> sulle principali piattafo</w:t>
      </w:r>
      <w:r w:rsidR="575C3782" w:rsidRPr="00B539EA">
        <w:rPr>
          <w:rFonts w:ascii="Times New Roman" w:hAnsi="Times New Roman"/>
          <w:i/>
          <w:iCs/>
          <w:sz w:val="24"/>
          <w:szCs w:val="24"/>
        </w:rPr>
        <w:t>rme online.</w:t>
      </w:r>
      <w:r w:rsidR="000C23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4A31" w:rsidRPr="00B539EA">
        <w:rPr>
          <w:rFonts w:ascii="Times New Roman" w:hAnsi="Times New Roman"/>
          <w:i/>
          <w:iCs/>
          <w:spacing w:val="-4"/>
          <w:sz w:val="24"/>
          <w:szCs w:val="24"/>
          <w:lang w:eastAsia="en-US"/>
        </w:rPr>
        <w:t>Tutti i materiali e il video di presentazione dell’editoria italiana sono disponibili sul sito di AIE (</w:t>
      </w:r>
      <w:hyperlink r:id="rId10" w:history="1">
        <w:r w:rsidR="00FA36CD" w:rsidRPr="00662BD2">
          <w:rPr>
            <w:rStyle w:val="Collegamentoipertestuale"/>
            <w:rFonts w:ascii="Times New Roman" w:hAnsi="Times New Roman"/>
            <w:i/>
            <w:iCs/>
            <w:spacing w:val="-4"/>
            <w:sz w:val="24"/>
            <w:szCs w:val="24"/>
            <w:lang w:eastAsia="en-US"/>
          </w:rPr>
          <w:t>https://www.aie.it/buchmesse2024.aspx</w:t>
        </w:r>
      </w:hyperlink>
      <w:r w:rsidR="00934A31" w:rsidRPr="00B539EA">
        <w:rPr>
          <w:rFonts w:ascii="Times New Roman" w:hAnsi="Times New Roman"/>
          <w:i/>
          <w:iCs/>
          <w:spacing w:val="-4"/>
          <w:sz w:val="24"/>
          <w:szCs w:val="24"/>
          <w:lang w:eastAsia="en-US"/>
        </w:rPr>
        <w:t>).</w:t>
      </w:r>
    </w:p>
    <w:p w14:paraId="50C53A9D" w14:textId="77777777" w:rsidR="00FA36CD" w:rsidRPr="00B11E9F" w:rsidRDefault="00FA36CD" w:rsidP="00B11E9F">
      <w:pPr>
        <w:widowControl w:val="0"/>
        <w:jc w:val="both"/>
        <w:rPr>
          <w:rFonts w:ascii="Times New Roman" w:hAnsi="Times New Roman"/>
          <w:i/>
          <w:iCs/>
          <w:spacing w:val="-4"/>
          <w:sz w:val="24"/>
          <w:szCs w:val="24"/>
          <w:lang w:eastAsia="en-US"/>
        </w:rPr>
      </w:pPr>
    </w:p>
    <w:p w14:paraId="135EDCFE" w14:textId="77809FB2" w:rsidR="00E33017" w:rsidRPr="00B539EA" w:rsidRDefault="00864554" w:rsidP="001116C8">
      <w:pPr>
        <w:widowControl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NOTA</w:t>
      </w:r>
    </w:p>
    <w:p w14:paraId="0F88A5C3" w14:textId="77777777" w:rsidR="00E33017" w:rsidRPr="00B539EA" w:rsidRDefault="00E33017" w:rsidP="17AD1994">
      <w:pPr>
        <w:widowControl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F8A913" w14:textId="78F13D4F" w:rsidR="007C05F2" w:rsidRPr="007C05F2" w:rsidRDefault="007C05F2" w:rsidP="007C05F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7C05F2">
        <w:rPr>
          <w:rFonts w:ascii="Times New Roman" w:hAnsi="Times New Roman"/>
          <w:sz w:val="24"/>
          <w:szCs w:val="24"/>
          <w:lang w:eastAsia="en-US"/>
        </w:rPr>
        <w:t xml:space="preserve">Il Rapporto sullo stato dell’editoria in Italia è basato su dati di fonte diversa e, in particolare, su dati Nielsen BookScan fino al 2023 per quanto riguarda la rilevazione del mercato trade dei libri a stampa. Con il nuovo anno, a seguito di un’unione societaria, i dati del mercato trade sono forniti ad AIE da </w:t>
      </w:r>
      <w:proofErr w:type="spellStart"/>
      <w:r w:rsidRPr="007C05F2">
        <w:rPr>
          <w:rFonts w:ascii="Times New Roman" w:hAnsi="Times New Roman"/>
          <w:sz w:val="24"/>
          <w:szCs w:val="24"/>
          <w:lang w:eastAsia="en-US"/>
        </w:rPr>
        <w:t>NielsenIQ</w:t>
      </w:r>
      <w:proofErr w:type="spellEnd"/>
      <w:r w:rsidRPr="007C05F2">
        <w:rPr>
          <w:rFonts w:ascii="Times New Roman" w:hAnsi="Times New Roman"/>
          <w:sz w:val="24"/>
          <w:szCs w:val="24"/>
          <w:lang w:eastAsia="en-US"/>
        </w:rPr>
        <w:t>–</w:t>
      </w:r>
      <w:proofErr w:type="spellStart"/>
      <w:r w:rsidRPr="007C05F2">
        <w:rPr>
          <w:rFonts w:ascii="Times New Roman" w:hAnsi="Times New Roman"/>
          <w:sz w:val="24"/>
          <w:szCs w:val="24"/>
          <w:lang w:eastAsia="en-US"/>
        </w:rPr>
        <w:t>GfK</w:t>
      </w:r>
      <w:proofErr w:type="spellEnd"/>
      <w:r w:rsidRPr="007C05F2">
        <w:rPr>
          <w:rFonts w:ascii="Times New Roman" w:hAnsi="Times New Roman"/>
          <w:sz w:val="24"/>
          <w:szCs w:val="24"/>
          <w:lang w:eastAsia="en-US"/>
        </w:rPr>
        <w:t>, mentre il supporto per la catalogazione bibliografica proviene sempre da IE-Informazioni Editoriali.</w:t>
      </w:r>
    </w:p>
    <w:p w14:paraId="247B4AB2" w14:textId="77777777" w:rsidR="007C05F2" w:rsidRPr="007C05F2" w:rsidRDefault="007C05F2" w:rsidP="007C05F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7C05F2">
        <w:rPr>
          <w:rFonts w:ascii="Times New Roman" w:hAnsi="Times New Roman"/>
          <w:sz w:val="24"/>
          <w:szCs w:val="24"/>
          <w:lang w:eastAsia="en-US"/>
        </w:rPr>
        <w:t xml:space="preserve">I dati presentati in questa sintesi sono quindi forniti da Nielsen BookScan, ad eccezione di quelli dei primi sei mesi 2024 del mercato trade e confronto con lo stesso semestre degli anni precedenti, che sono invece forniti da </w:t>
      </w:r>
      <w:proofErr w:type="spellStart"/>
      <w:r w:rsidRPr="007C05F2">
        <w:rPr>
          <w:rFonts w:ascii="Times New Roman" w:hAnsi="Times New Roman"/>
          <w:sz w:val="24"/>
          <w:szCs w:val="24"/>
          <w:lang w:eastAsia="en-US"/>
        </w:rPr>
        <w:t>NielsenIQ</w:t>
      </w:r>
      <w:proofErr w:type="spellEnd"/>
      <w:r w:rsidRPr="007C05F2">
        <w:rPr>
          <w:rFonts w:ascii="Times New Roman" w:hAnsi="Times New Roman"/>
          <w:sz w:val="24"/>
          <w:szCs w:val="24"/>
          <w:lang w:eastAsia="en-US"/>
        </w:rPr>
        <w:t>–</w:t>
      </w:r>
      <w:proofErr w:type="spellStart"/>
      <w:r w:rsidRPr="007C05F2">
        <w:rPr>
          <w:rFonts w:ascii="Times New Roman" w:hAnsi="Times New Roman"/>
          <w:sz w:val="24"/>
          <w:szCs w:val="24"/>
          <w:lang w:eastAsia="en-US"/>
        </w:rPr>
        <w:t>GfK</w:t>
      </w:r>
      <w:proofErr w:type="spellEnd"/>
      <w:r w:rsidRPr="007C05F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66940E2F" w14:textId="2F53335F" w:rsidR="005D4891" w:rsidRPr="007C05F2" w:rsidRDefault="007C05F2" w:rsidP="007C05F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7C05F2">
        <w:rPr>
          <w:rFonts w:ascii="Times New Roman" w:hAnsi="Times New Roman"/>
          <w:sz w:val="24"/>
          <w:szCs w:val="24"/>
          <w:lang w:eastAsia="en-US"/>
        </w:rPr>
        <w:t xml:space="preserve">Questi ultimi differiscono dai dati Nielsen BookScan per alcune caratteristiche, di cui due </w:t>
      </w:r>
      <w:proofErr w:type="spellStart"/>
      <w:r w:rsidRPr="007C05F2">
        <w:rPr>
          <w:rFonts w:ascii="Times New Roman" w:hAnsi="Times New Roman"/>
          <w:sz w:val="24"/>
          <w:szCs w:val="24"/>
          <w:lang w:eastAsia="en-US"/>
        </w:rPr>
        <w:t>particolarmente significative</w:t>
      </w:r>
      <w:proofErr w:type="spellEnd"/>
      <w:r w:rsidRPr="007C05F2">
        <w:rPr>
          <w:rFonts w:ascii="Times New Roman" w:hAnsi="Times New Roman"/>
          <w:sz w:val="24"/>
          <w:szCs w:val="24"/>
          <w:lang w:eastAsia="en-US"/>
        </w:rPr>
        <w:t>. La prima è che le rilevazioni vengono fatte su base mensile, e non sulla base di 13 periodi di 4 settimane, come avveniva precedentemente. Il valore del venduto, inoltre, non è più calcolato a prezzo di copertina, ma incorpora gli sconti promozionali praticati ai clienti finali.</w:t>
      </w:r>
    </w:p>
    <w:sectPr w:rsidR="005D4891" w:rsidRPr="007C05F2" w:rsidSect="006224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410" w:right="1417" w:bottom="1701" w:left="1276" w:header="57" w:footer="31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390B" w14:textId="77777777" w:rsidR="000E0500" w:rsidRDefault="000E0500">
      <w:r>
        <w:separator/>
      </w:r>
    </w:p>
  </w:endnote>
  <w:endnote w:type="continuationSeparator" w:id="0">
    <w:p w14:paraId="65E66E53" w14:textId="77777777" w:rsidR="000E0500" w:rsidRDefault="000E0500">
      <w:r>
        <w:continuationSeparator/>
      </w:r>
    </w:p>
  </w:endnote>
  <w:endnote w:type="continuationNotice" w:id="1">
    <w:p w14:paraId="68353B1D" w14:textId="77777777" w:rsidR="000E0500" w:rsidRDefault="000E0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3B51" w14:textId="77777777" w:rsidR="00864D39" w:rsidRDefault="00864D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15EA" w14:textId="77777777" w:rsidR="00864D39" w:rsidRDefault="00864D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D166" w14:textId="77777777" w:rsidR="00864D39" w:rsidRPr="00F27DF0" w:rsidRDefault="00864D39" w:rsidP="00750E21">
    <w:pPr>
      <w:pStyle w:val="Pidipagina"/>
      <w:jc w:val="center"/>
      <w:rPr>
        <w:rFonts w:ascii="Arial" w:hAnsi="Arial" w:cs="Arial"/>
        <w:color w:val="365F91"/>
        <w:sz w:val="19"/>
        <w:szCs w:val="19"/>
      </w:rPr>
    </w:pPr>
    <w:r w:rsidRPr="00B861FA">
      <w:rPr>
        <w:rFonts w:ascii="Arial" w:hAnsi="Arial" w:cs="Arial"/>
        <w:color w:val="365F91"/>
        <w:sz w:val="19"/>
        <w:szCs w:val="19"/>
      </w:rPr>
      <w:t>Sede | Corso di Porta Romana, 108 | 20122 Milano | Tel. 0289280800 | Fax. 0289280860</w:t>
    </w:r>
  </w:p>
  <w:p w14:paraId="39FA3163" w14:textId="77777777" w:rsidR="00864D39" w:rsidRPr="00F27DF0" w:rsidRDefault="00864D39" w:rsidP="00750E21">
    <w:pPr>
      <w:tabs>
        <w:tab w:val="center" w:pos="4819"/>
        <w:tab w:val="right" w:pos="9071"/>
      </w:tabs>
      <w:jc w:val="center"/>
      <w:rPr>
        <w:rFonts w:ascii="Arial" w:hAnsi="Arial" w:cs="Arial"/>
        <w:color w:val="365F91"/>
        <w:sz w:val="19"/>
        <w:szCs w:val="19"/>
      </w:rPr>
    </w:pPr>
    <w:r w:rsidRPr="00B861FA">
      <w:rPr>
        <w:rFonts w:ascii="Arial" w:hAnsi="Arial" w:cs="Arial"/>
        <w:color w:val="365F91"/>
        <w:sz w:val="19"/>
        <w:szCs w:val="19"/>
      </w:rPr>
      <w:t xml:space="preserve">Uffici | Via Crescenzio, 19 | 00193 Roma | Tel. </w:t>
    </w:r>
    <w:r w:rsidRPr="00F27DF0">
      <w:rPr>
        <w:rFonts w:ascii="Arial" w:hAnsi="Arial" w:cs="Arial"/>
        <w:color w:val="365F91"/>
        <w:sz w:val="19"/>
        <w:szCs w:val="19"/>
      </w:rPr>
      <w:t>0695222100 |</w:t>
    </w:r>
    <w:r w:rsidRPr="00B861FA">
      <w:rPr>
        <w:rFonts w:ascii="Arial" w:hAnsi="Arial" w:cs="Arial"/>
        <w:color w:val="365F91"/>
        <w:sz w:val="19"/>
        <w:szCs w:val="19"/>
      </w:rPr>
      <w:t xml:space="preserve"> Fax. 0695222101</w:t>
    </w:r>
  </w:p>
  <w:p w14:paraId="4E457C34" w14:textId="77C56D34" w:rsidR="00864D39" w:rsidRPr="00F27DF0" w:rsidRDefault="00864D39" w:rsidP="00750E21">
    <w:pPr>
      <w:tabs>
        <w:tab w:val="center" w:pos="4819"/>
        <w:tab w:val="right" w:pos="9071"/>
      </w:tabs>
      <w:jc w:val="center"/>
      <w:rPr>
        <w:rFonts w:ascii="Arial" w:hAnsi="Arial" w:cs="Arial"/>
        <w:color w:val="365F91"/>
        <w:sz w:val="19"/>
        <w:szCs w:val="19"/>
      </w:rPr>
    </w:pPr>
    <w:r w:rsidRPr="00F27DF0">
      <w:rPr>
        <w:rFonts w:ascii="Arial" w:hAnsi="Arial" w:cs="Arial"/>
        <w:color w:val="365F91"/>
        <w:sz w:val="19"/>
        <w:szCs w:val="19"/>
      </w:rPr>
      <w:t>C.F. e P.I. 01416360152 |</w:t>
    </w:r>
    <w:r>
      <w:rPr>
        <w:rFonts w:ascii="Arial" w:hAnsi="Arial" w:cs="Arial"/>
        <w:color w:val="365F91"/>
        <w:sz w:val="19"/>
        <w:szCs w:val="19"/>
      </w:rPr>
      <w:t xml:space="preserve"> </w:t>
    </w:r>
    <w:proofErr w:type="spellStart"/>
    <w:r>
      <w:rPr>
        <w:rFonts w:ascii="Arial" w:hAnsi="Arial" w:cs="Arial"/>
        <w:color w:val="365F91"/>
        <w:sz w:val="19"/>
        <w:szCs w:val="19"/>
      </w:rPr>
      <w:t>SdI</w:t>
    </w:r>
    <w:proofErr w:type="spellEnd"/>
    <w:r>
      <w:rPr>
        <w:rFonts w:ascii="Arial" w:hAnsi="Arial" w:cs="Arial"/>
        <w:color w:val="365F91"/>
        <w:sz w:val="19"/>
        <w:szCs w:val="19"/>
      </w:rPr>
      <w:t xml:space="preserve">: </w:t>
    </w:r>
    <w:r w:rsidRPr="005C12F7">
      <w:rPr>
        <w:rFonts w:ascii="Arial" w:hAnsi="Arial" w:cs="Arial"/>
        <w:color w:val="365F91"/>
        <w:sz w:val="19"/>
        <w:szCs w:val="19"/>
      </w:rPr>
      <w:t>SUBM70N</w:t>
    </w:r>
  </w:p>
  <w:p w14:paraId="5ABABD8B" w14:textId="24D74E81" w:rsidR="00864D39" w:rsidRPr="006C3573" w:rsidRDefault="00864D39" w:rsidP="00750E21">
    <w:pPr>
      <w:tabs>
        <w:tab w:val="center" w:pos="4819"/>
        <w:tab w:val="right" w:pos="9071"/>
      </w:tabs>
      <w:jc w:val="center"/>
      <w:rPr>
        <w:rFonts w:ascii="Arial" w:hAnsi="Arial" w:cs="Arial"/>
        <w:color w:val="365F91"/>
        <w:sz w:val="19"/>
        <w:szCs w:val="19"/>
      </w:rPr>
    </w:pPr>
    <w:r w:rsidRPr="006C3573">
      <w:rPr>
        <w:rFonts w:ascii="Arial" w:hAnsi="Arial" w:cs="Arial"/>
        <w:color w:val="365F91"/>
        <w:sz w:val="19"/>
        <w:szCs w:val="19"/>
      </w:rPr>
      <w:t>info@aie.it</w:t>
    </w:r>
    <w:r w:rsidRPr="00F27DF0">
      <w:rPr>
        <w:rFonts w:ascii="Arial" w:hAnsi="Arial" w:cs="Arial"/>
        <w:color w:val="365F91"/>
        <w:sz w:val="19"/>
        <w:szCs w:val="19"/>
      </w:rPr>
      <w:t xml:space="preserve"> |</w:t>
    </w:r>
    <w:r>
      <w:rPr>
        <w:rFonts w:ascii="Arial" w:hAnsi="Arial" w:cs="Arial"/>
        <w:color w:val="365F91"/>
        <w:sz w:val="19"/>
        <w:szCs w:val="19"/>
      </w:rPr>
      <w:t xml:space="preserve"> </w:t>
    </w:r>
    <w:r w:rsidRPr="00F27DF0">
      <w:rPr>
        <w:rFonts w:ascii="Arial" w:hAnsi="Arial" w:cs="Arial"/>
        <w:color w:val="365F91"/>
        <w:sz w:val="19"/>
        <w:szCs w:val="19"/>
      </w:rPr>
      <w:t>aie-pec@pec.aie.it</w:t>
    </w:r>
    <w:r w:rsidRPr="00B861FA">
      <w:rPr>
        <w:rFonts w:ascii="Arial" w:hAnsi="Arial" w:cs="Arial"/>
        <w:color w:val="365F91"/>
        <w:sz w:val="19"/>
        <w:szCs w:val="19"/>
      </w:rPr>
      <w:t xml:space="preserve"> | </w:t>
    </w:r>
    <w:r w:rsidRPr="006C3573">
      <w:rPr>
        <w:rFonts w:ascii="Arial" w:hAnsi="Arial" w:cs="Arial"/>
        <w:color w:val="365F91"/>
        <w:sz w:val="19"/>
        <w:szCs w:val="19"/>
      </w:rPr>
      <w:t>www.aie.it</w:t>
    </w:r>
  </w:p>
  <w:p w14:paraId="4906517E" w14:textId="77777777" w:rsidR="00864D39" w:rsidRPr="00CD6069" w:rsidRDefault="00864D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180F" w14:textId="77777777" w:rsidR="000E0500" w:rsidRDefault="000E0500">
      <w:r>
        <w:separator/>
      </w:r>
    </w:p>
  </w:footnote>
  <w:footnote w:type="continuationSeparator" w:id="0">
    <w:p w14:paraId="71B734D9" w14:textId="77777777" w:rsidR="000E0500" w:rsidRDefault="000E0500">
      <w:r>
        <w:continuationSeparator/>
      </w:r>
    </w:p>
  </w:footnote>
  <w:footnote w:type="continuationNotice" w:id="1">
    <w:p w14:paraId="127A510E" w14:textId="77777777" w:rsidR="000E0500" w:rsidRDefault="000E0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B3F1" w14:textId="77777777" w:rsidR="00864D39" w:rsidRDefault="00864D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6CD29" w14:textId="20046641" w:rsidR="00864D39" w:rsidRDefault="00864D39" w:rsidP="00500E4F">
    <w:pPr>
      <w:pStyle w:val="Intestazione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1" behindDoc="0" locked="0" layoutInCell="1" allowOverlap="1" wp14:anchorId="63D39D5C" wp14:editId="412EE345">
          <wp:simplePos x="0" y="0"/>
          <wp:positionH relativeFrom="column">
            <wp:posOffset>-378460</wp:posOffset>
          </wp:positionH>
          <wp:positionV relativeFrom="paragraph">
            <wp:posOffset>503555</wp:posOffset>
          </wp:positionV>
          <wp:extent cx="1566000" cy="504000"/>
          <wp:effectExtent l="0" t="0" r="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AIE1869_carta da lett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9361" w14:textId="3D439D7E" w:rsidR="00864D39" w:rsidRDefault="00864D3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8E84A" wp14:editId="2D9ED900">
          <wp:simplePos x="0" y="0"/>
          <wp:positionH relativeFrom="column">
            <wp:posOffset>1824990</wp:posOffset>
          </wp:positionH>
          <wp:positionV relativeFrom="paragraph">
            <wp:posOffset>440055</wp:posOffset>
          </wp:positionV>
          <wp:extent cx="2239200" cy="720000"/>
          <wp:effectExtent l="0" t="0" r="0" b="4445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IE1869_carta da lett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7F8B"/>
    <w:multiLevelType w:val="singleLevel"/>
    <w:tmpl w:val="779E6C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4F36286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C3BB2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631351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582C51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7C44C1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C35084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1797B1D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1360EF"/>
    <w:multiLevelType w:val="singleLevel"/>
    <w:tmpl w:val="65C499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5ED1E8F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331E66"/>
    <w:multiLevelType w:val="singleLevel"/>
    <w:tmpl w:val="779E6C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85C01A3"/>
    <w:multiLevelType w:val="singleLevel"/>
    <w:tmpl w:val="65C499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1B303B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123B42"/>
    <w:multiLevelType w:val="singleLevel"/>
    <w:tmpl w:val="65C499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4183C3B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CA30F1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BE7199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BA31D6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2C1EE3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611190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5072553">
    <w:abstractNumId w:val="0"/>
  </w:num>
  <w:num w:numId="2" w16cid:durableId="1662274937">
    <w:abstractNumId w:val="10"/>
  </w:num>
  <w:num w:numId="3" w16cid:durableId="1165363081">
    <w:abstractNumId w:val="8"/>
  </w:num>
  <w:num w:numId="4" w16cid:durableId="1545170056">
    <w:abstractNumId w:val="6"/>
  </w:num>
  <w:num w:numId="5" w16cid:durableId="1831560030">
    <w:abstractNumId w:val="4"/>
  </w:num>
  <w:num w:numId="6" w16cid:durableId="1416129854">
    <w:abstractNumId w:val="11"/>
  </w:num>
  <w:num w:numId="7" w16cid:durableId="2122066985">
    <w:abstractNumId w:val="19"/>
  </w:num>
  <w:num w:numId="8" w16cid:durableId="711465870">
    <w:abstractNumId w:val="14"/>
  </w:num>
  <w:num w:numId="9" w16cid:durableId="1410424681">
    <w:abstractNumId w:val="17"/>
  </w:num>
  <w:num w:numId="10" w16cid:durableId="1965690516">
    <w:abstractNumId w:val="3"/>
  </w:num>
  <w:num w:numId="11" w16cid:durableId="198081785">
    <w:abstractNumId w:val="5"/>
  </w:num>
  <w:num w:numId="12" w16cid:durableId="730150336">
    <w:abstractNumId w:val="12"/>
  </w:num>
  <w:num w:numId="13" w16cid:durableId="1944262152">
    <w:abstractNumId w:val="9"/>
  </w:num>
  <w:num w:numId="14" w16cid:durableId="98336220">
    <w:abstractNumId w:val="1"/>
  </w:num>
  <w:num w:numId="15" w16cid:durableId="227813182">
    <w:abstractNumId w:val="18"/>
  </w:num>
  <w:num w:numId="16" w16cid:durableId="780225936">
    <w:abstractNumId w:val="2"/>
  </w:num>
  <w:num w:numId="17" w16cid:durableId="677925026">
    <w:abstractNumId w:val="16"/>
  </w:num>
  <w:num w:numId="18" w16cid:durableId="750544151">
    <w:abstractNumId w:val="7"/>
  </w:num>
  <w:num w:numId="19" w16cid:durableId="1844469985">
    <w:abstractNumId w:val="15"/>
  </w:num>
  <w:num w:numId="20" w16cid:durableId="2055344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5D"/>
    <w:rsid w:val="00000A04"/>
    <w:rsid w:val="00001404"/>
    <w:rsid w:val="00004A0E"/>
    <w:rsid w:val="00024388"/>
    <w:rsid w:val="000350BF"/>
    <w:rsid w:val="00036097"/>
    <w:rsid w:val="000420DB"/>
    <w:rsid w:val="00052614"/>
    <w:rsid w:val="000535E9"/>
    <w:rsid w:val="00054623"/>
    <w:rsid w:val="0005593B"/>
    <w:rsid w:val="0007281C"/>
    <w:rsid w:val="000733AE"/>
    <w:rsid w:val="000755DD"/>
    <w:rsid w:val="0007574B"/>
    <w:rsid w:val="00077C3D"/>
    <w:rsid w:val="000961BF"/>
    <w:rsid w:val="000A76BD"/>
    <w:rsid w:val="000A7F58"/>
    <w:rsid w:val="000B43FE"/>
    <w:rsid w:val="000C235E"/>
    <w:rsid w:val="000D0446"/>
    <w:rsid w:val="000D3F55"/>
    <w:rsid w:val="000E0500"/>
    <w:rsid w:val="000E506B"/>
    <w:rsid w:val="000E7F1C"/>
    <w:rsid w:val="000F4C6F"/>
    <w:rsid w:val="000F7294"/>
    <w:rsid w:val="00101101"/>
    <w:rsid w:val="001013F3"/>
    <w:rsid w:val="00102157"/>
    <w:rsid w:val="001047F2"/>
    <w:rsid w:val="001116C8"/>
    <w:rsid w:val="00114BC9"/>
    <w:rsid w:val="0012616E"/>
    <w:rsid w:val="00126C36"/>
    <w:rsid w:val="00134182"/>
    <w:rsid w:val="0013571F"/>
    <w:rsid w:val="00145383"/>
    <w:rsid w:val="00146A93"/>
    <w:rsid w:val="00176CDA"/>
    <w:rsid w:val="00186D59"/>
    <w:rsid w:val="00196146"/>
    <w:rsid w:val="001A01B3"/>
    <w:rsid w:val="001A0BFD"/>
    <w:rsid w:val="001A6F52"/>
    <w:rsid w:val="001B2B62"/>
    <w:rsid w:val="001C4133"/>
    <w:rsid w:val="001C6785"/>
    <w:rsid w:val="001D23FF"/>
    <w:rsid w:val="001D40B4"/>
    <w:rsid w:val="001D4323"/>
    <w:rsid w:val="001D65BD"/>
    <w:rsid w:val="001D70D3"/>
    <w:rsid w:val="001E162D"/>
    <w:rsid w:val="001E6E12"/>
    <w:rsid w:val="001F7D1A"/>
    <w:rsid w:val="002052E1"/>
    <w:rsid w:val="00216F7A"/>
    <w:rsid w:val="00220773"/>
    <w:rsid w:val="002323D1"/>
    <w:rsid w:val="0024235D"/>
    <w:rsid w:val="00247A86"/>
    <w:rsid w:val="00265984"/>
    <w:rsid w:val="002664A5"/>
    <w:rsid w:val="00275F25"/>
    <w:rsid w:val="00277C89"/>
    <w:rsid w:val="002A5948"/>
    <w:rsid w:val="002A6A8E"/>
    <w:rsid w:val="002A7D5D"/>
    <w:rsid w:val="002B0191"/>
    <w:rsid w:val="002C0374"/>
    <w:rsid w:val="002C6B5D"/>
    <w:rsid w:val="002D31E2"/>
    <w:rsid w:val="002E5A9A"/>
    <w:rsid w:val="002E5CD6"/>
    <w:rsid w:val="002F3741"/>
    <w:rsid w:val="002F3DEF"/>
    <w:rsid w:val="00314856"/>
    <w:rsid w:val="00330AA0"/>
    <w:rsid w:val="00355E61"/>
    <w:rsid w:val="003626C6"/>
    <w:rsid w:val="00382159"/>
    <w:rsid w:val="003A4C4F"/>
    <w:rsid w:val="003B1123"/>
    <w:rsid w:val="003B315C"/>
    <w:rsid w:val="003B4437"/>
    <w:rsid w:val="003C0153"/>
    <w:rsid w:val="003C090D"/>
    <w:rsid w:val="003C49AF"/>
    <w:rsid w:val="003D16C6"/>
    <w:rsid w:val="003E778A"/>
    <w:rsid w:val="003F1321"/>
    <w:rsid w:val="003F2F02"/>
    <w:rsid w:val="0041614E"/>
    <w:rsid w:val="00421460"/>
    <w:rsid w:val="0042155E"/>
    <w:rsid w:val="0042248C"/>
    <w:rsid w:val="00435BBD"/>
    <w:rsid w:val="00444EB7"/>
    <w:rsid w:val="00447901"/>
    <w:rsid w:val="00451AF1"/>
    <w:rsid w:val="00454DE8"/>
    <w:rsid w:val="00460936"/>
    <w:rsid w:val="00463441"/>
    <w:rsid w:val="00464729"/>
    <w:rsid w:val="00497009"/>
    <w:rsid w:val="004B14D5"/>
    <w:rsid w:val="004B23B3"/>
    <w:rsid w:val="004B66C8"/>
    <w:rsid w:val="004C34BF"/>
    <w:rsid w:val="004C431A"/>
    <w:rsid w:val="004D56F2"/>
    <w:rsid w:val="004E45E6"/>
    <w:rsid w:val="004E6656"/>
    <w:rsid w:val="004F45B7"/>
    <w:rsid w:val="00500E4F"/>
    <w:rsid w:val="00506485"/>
    <w:rsid w:val="00524A93"/>
    <w:rsid w:val="00527256"/>
    <w:rsid w:val="00533B4D"/>
    <w:rsid w:val="005354DF"/>
    <w:rsid w:val="00535E6D"/>
    <w:rsid w:val="00547E19"/>
    <w:rsid w:val="00562F9E"/>
    <w:rsid w:val="00563B7A"/>
    <w:rsid w:val="00565729"/>
    <w:rsid w:val="00573639"/>
    <w:rsid w:val="00574CAF"/>
    <w:rsid w:val="005A5044"/>
    <w:rsid w:val="005C0643"/>
    <w:rsid w:val="005C12F7"/>
    <w:rsid w:val="005D4430"/>
    <w:rsid w:val="005D4891"/>
    <w:rsid w:val="005E043D"/>
    <w:rsid w:val="005F3CAE"/>
    <w:rsid w:val="005F401D"/>
    <w:rsid w:val="006002C0"/>
    <w:rsid w:val="00601AE8"/>
    <w:rsid w:val="00602A53"/>
    <w:rsid w:val="0060427E"/>
    <w:rsid w:val="0060693B"/>
    <w:rsid w:val="006224DC"/>
    <w:rsid w:val="00630D54"/>
    <w:rsid w:val="00642D27"/>
    <w:rsid w:val="00643049"/>
    <w:rsid w:val="006837F3"/>
    <w:rsid w:val="006951D3"/>
    <w:rsid w:val="006A4D5C"/>
    <w:rsid w:val="006A561B"/>
    <w:rsid w:val="006B0CDF"/>
    <w:rsid w:val="006B4F60"/>
    <w:rsid w:val="006C5B8C"/>
    <w:rsid w:val="006D30A1"/>
    <w:rsid w:val="006D7043"/>
    <w:rsid w:val="006E0ABF"/>
    <w:rsid w:val="006F11B8"/>
    <w:rsid w:val="006F20DB"/>
    <w:rsid w:val="00701382"/>
    <w:rsid w:val="007078D6"/>
    <w:rsid w:val="00707DFB"/>
    <w:rsid w:val="0071083D"/>
    <w:rsid w:val="00725147"/>
    <w:rsid w:val="00735B33"/>
    <w:rsid w:val="007376D0"/>
    <w:rsid w:val="0073782E"/>
    <w:rsid w:val="00750E21"/>
    <w:rsid w:val="00773385"/>
    <w:rsid w:val="007766CF"/>
    <w:rsid w:val="00781F23"/>
    <w:rsid w:val="007829B6"/>
    <w:rsid w:val="007A7677"/>
    <w:rsid w:val="007C05F2"/>
    <w:rsid w:val="007C1787"/>
    <w:rsid w:val="007C2E23"/>
    <w:rsid w:val="007C30C3"/>
    <w:rsid w:val="007C45EA"/>
    <w:rsid w:val="007C75D6"/>
    <w:rsid w:val="007D21C9"/>
    <w:rsid w:val="007D6A1C"/>
    <w:rsid w:val="007D799C"/>
    <w:rsid w:val="007E06C8"/>
    <w:rsid w:val="007E25B4"/>
    <w:rsid w:val="007E68CC"/>
    <w:rsid w:val="007F0C7D"/>
    <w:rsid w:val="008010D7"/>
    <w:rsid w:val="008032C0"/>
    <w:rsid w:val="00805096"/>
    <w:rsid w:val="00813666"/>
    <w:rsid w:val="00834D02"/>
    <w:rsid w:val="00837731"/>
    <w:rsid w:val="00840BC2"/>
    <w:rsid w:val="008427C0"/>
    <w:rsid w:val="0084768F"/>
    <w:rsid w:val="00847DAB"/>
    <w:rsid w:val="00850FA7"/>
    <w:rsid w:val="00852369"/>
    <w:rsid w:val="0085524F"/>
    <w:rsid w:val="00864554"/>
    <w:rsid w:val="00864D39"/>
    <w:rsid w:val="0087083D"/>
    <w:rsid w:val="008721FC"/>
    <w:rsid w:val="008751A2"/>
    <w:rsid w:val="00885E8B"/>
    <w:rsid w:val="00894074"/>
    <w:rsid w:val="0089541F"/>
    <w:rsid w:val="00896BF0"/>
    <w:rsid w:val="008A19FE"/>
    <w:rsid w:val="008A4F81"/>
    <w:rsid w:val="008A69CF"/>
    <w:rsid w:val="008B58F6"/>
    <w:rsid w:val="008C48C0"/>
    <w:rsid w:val="008D7555"/>
    <w:rsid w:val="008E432B"/>
    <w:rsid w:val="008E5292"/>
    <w:rsid w:val="008E5C6A"/>
    <w:rsid w:val="008E66FA"/>
    <w:rsid w:val="008F1C41"/>
    <w:rsid w:val="008F245F"/>
    <w:rsid w:val="008F2C4F"/>
    <w:rsid w:val="00900650"/>
    <w:rsid w:val="00913DCD"/>
    <w:rsid w:val="00933320"/>
    <w:rsid w:val="00934A31"/>
    <w:rsid w:val="00935F47"/>
    <w:rsid w:val="00942711"/>
    <w:rsid w:val="00970B1A"/>
    <w:rsid w:val="00973019"/>
    <w:rsid w:val="00973E89"/>
    <w:rsid w:val="00975F50"/>
    <w:rsid w:val="009850C0"/>
    <w:rsid w:val="009920B3"/>
    <w:rsid w:val="009A255D"/>
    <w:rsid w:val="009B50ED"/>
    <w:rsid w:val="009C1AAB"/>
    <w:rsid w:val="009D5826"/>
    <w:rsid w:val="009E46E5"/>
    <w:rsid w:val="009F72EE"/>
    <w:rsid w:val="00A02D61"/>
    <w:rsid w:val="00A03CEE"/>
    <w:rsid w:val="00A07A6C"/>
    <w:rsid w:val="00A33B77"/>
    <w:rsid w:val="00A34DDA"/>
    <w:rsid w:val="00A6123C"/>
    <w:rsid w:val="00A72AF2"/>
    <w:rsid w:val="00A75519"/>
    <w:rsid w:val="00A76077"/>
    <w:rsid w:val="00A83500"/>
    <w:rsid w:val="00A860BD"/>
    <w:rsid w:val="00A97E51"/>
    <w:rsid w:val="00AB0A2E"/>
    <w:rsid w:val="00AB3A71"/>
    <w:rsid w:val="00AB6768"/>
    <w:rsid w:val="00AD553A"/>
    <w:rsid w:val="00AE2738"/>
    <w:rsid w:val="00AE3C87"/>
    <w:rsid w:val="00AE3CAA"/>
    <w:rsid w:val="00AE44C6"/>
    <w:rsid w:val="00AF60F3"/>
    <w:rsid w:val="00AF63A2"/>
    <w:rsid w:val="00B06D62"/>
    <w:rsid w:val="00B11D0B"/>
    <w:rsid w:val="00B11E9F"/>
    <w:rsid w:val="00B20EC4"/>
    <w:rsid w:val="00B24628"/>
    <w:rsid w:val="00B30AA3"/>
    <w:rsid w:val="00B3198C"/>
    <w:rsid w:val="00B37976"/>
    <w:rsid w:val="00B50C72"/>
    <w:rsid w:val="00B539EA"/>
    <w:rsid w:val="00B55634"/>
    <w:rsid w:val="00B57DC4"/>
    <w:rsid w:val="00B82B2E"/>
    <w:rsid w:val="00B83B44"/>
    <w:rsid w:val="00B87622"/>
    <w:rsid w:val="00BA17DE"/>
    <w:rsid w:val="00BC685E"/>
    <w:rsid w:val="00BC71E1"/>
    <w:rsid w:val="00BD2F82"/>
    <w:rsid w:val="00BD3724"/>
    <w:rsid w:val="00BE52F4"/>
    <w:rsid w:val="00BF4F07"/>
    <w:rsid w:val="00C04FA5"/>
    <w:rsid w:val="00C122E6"/>
    <w:rsid w:val="00C1275F"/>
    <w:rsid w:val="00C24C6E"/>
    <w:rsid w:val="00C41465"/>
    <w:rsid w:val="00C435CC"/>
    <w:rsid w:val="00C47601"/>
    <w:rsid w:val="00C53041"/>
    <w:rsid w:val="00C53C10"/>
    <w:rsid w:val="00C54331"/>
    <w:rsid w:val="00C55301"/>
    <w:rsid w:val="00C7141C"/>
    <w:rsid w:val="00C732CB"/>
    <w:rsid w:val="00C778E7"/>
    <w:rsid w:val="00C814E5"/>
    <w:rsid w:val="00C86E19"/>
    <w:rsid w:val="00C94C51"/>
    <w:rsid w:val="00C94D4C"/>
    <w:rsid w:val="00CA1AF5"/>
    <w:rsid w:val="00CB3BFE"/>
    <w:rsid w:val="00CC277C"/>
    <w:rsid w:val="00CC52A2"/>
    <w:rsid w:val="00CC6D8D"/>
    <w:rsid w:val="00CD6069"/>
    <w:rsid w:val="00CE31E8"/>
    <w:rsid w:val="00CE4524"/>
    <w:rsid w:val="00CE793C"/>
    <w:rsid w:val="00CF4B47"/>
    <w:rsid w:val="00CF6970"/>
    <w:rsid w:val="00D05310"/>
    <w:rsid w:val="00D0713F"/>
    <w:rsid w:val="00D120EF"/>
    <w:rsid w:val="00D155D4"/>
    <w:rsid w:val="00D23EF5"/>
    <w:rsid w:val="00D37DC4"/>
    <w:rsid w:val="00D44A30"/>
    <w:rsid w:val="00D528CC"/>
    <w:rsid w:val="00D52F5A"/>
    <w:rsid w:val="00D672B5"/>
    <w:rsid w:val="00D6763F"/>
    <w:rsid w:val="00D70C0E"/>
    <w:rsid w:val="00D71142"/>
    <w:rsid w:val="00D7301D"/>
    <w:rsid w:val="00D738B0"/>
    <w:rsid w:val="00D9572F"/>
    <w:rsid w:val="00DE2504"/>
    <w:rsid w:val="00DE5861"/>
    <w:rsid w:val="00DF1112"/>
    <w:rsid w:val="00DF53A9"/>
    <w:rsid w:val="00E03649"/>
    <w:rsid w:val="00E204AD"/>
    <w:rsid w:val="00E33017"/>
    <w:rsid w:val="00E42F46"/>
    <w:rsid w:val="00E437EF"/>
    <w:rsid w:val="00E46177"/>
    <w:rsid w:val="00E52F6D"/>
    <w:rsid w:val="00E64F2D"/>
    <w:rsid w:val="00E652C4"/>
    <w:rsid w:val="00E65832"/>
    <w:rsid w:val="00E76C4B"/>
    <w:rsid w:val="00E8127F"/>
    <w:rsid w:val="00E920CD"/>
    <w:rsid w:val="00E97EF4"/>
    <w:rsid w:val="00EA2B73"/>
    <w:rsid w:val="00EA4955"/>
    <w:rsid w:val="00EA5B5C"/>
    <w:rsid w:val="00EA6FC7"/>
    <w:rsid w:val="00EB6599"/>
    <w:rsid w:val="00EC32F1"/>
    <w:rsid w:val="00EE717C"/>
    <w:rsid w:val="00EF0200"/>
    <w:rsid w:val="00F0178D"/>
    <w:rsid w:val="00F02324"/>
    <w:rsid w:val="00F255F3"/>
    <w:rsid w:val="00F26B0B"/>
    <w:rsid w:val="00F35552"/>
    <w:rsid w:val="00F43DD6"/>
    <w:rsid w:val="00F500EF"/>
    <w:rsid w:val="00F56A3B"/>
    <w:rsid w:val="00F73209"/>
    <w:rsid w:val="00F92977"/>
    <w:rsid w:val="00F93F92"/>
    <w:rsid w:val="00FA36CD"/>
    <w:rsid w:val="00FB2ADE"/>
    <w:rsid w:val="00FB4DEC"/>
    <w:rsid w:val="00FC148C"/>
    <w:rsid w:val="00FD3143"/>
    <w:rsid w:val="00FE0503"/>
    <w:rsid w:val="00FE2A90"/>
    <w:rsid w:val="00FF198B"/>
    <w:rsid w:val="00FF4F1E"/>
    <w:rsid w:val="17AD1994"/>
    <w:rsid w:val="26D47299"/>
    <w:rsid w:val="507D393F"/>
    <w:rsid w:val="50F5A11E"/>
    <w:rsid w:val="575C3782"/>
    <w:rsid w:val="75DBC680"/>
    <w:rsid w:val="7A82F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90613"/>
  <w15:docId w15:val="{B808B5B6-DF58-492F-8B38-2F50CA97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Roman 12cpi" w:hAnsi="Roman 12cpi"/>
    </w:rPr>
  </w:style>
  <w:style w:type="paragraph" w:styleId="Titolo1">
    <w:name w:val="heading 1"/>
    <w:basedOn w:val="Normale"/>
    <w:next w:val="Normale"/>
    <w:qFormat/>
    <w:pPr>
      <w:keepNext/>
      <w:tabs>
        <w:tab w:val="left" w:pos="284"/>
        <w:tab w:val="left" w:pos="6237"/>
      </w:tabs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rPr>
      <w:rFonts w:ascii="Arial" w:hAnsi="Arial"/>
      <w:sz w:val="22"/>
    </w:rPr>
  </w:style>
  <w:style w:type="paragraph" w:styleId="Corpodeltesto2">
    <w:name w:val="Body Text 2"/>
    <w:basedOn w:val="Normale"/>
    <w:pPr>
      <w:tabs>
        <w:tab w:val="left" w:pos="1560"/>
        <w:tab w:val="left" w:pos="5104"/>
      </w:tabs>
      <w:jc w:val="both"/>
    </w:pPr>
    <w:rPr>
      <w:rFonts w:ascii="Arial" w:hAnsi="Arial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C32F1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A93"/>
    <w:rPr>
      <w:rFonts w:ascii="Roman 12cpi" w:hAnsi="Roman 12cpi"/>
    </w:rPr>
  </w:style>
  <w:style w:type="character" w:styleId="Rimandocommento">
    <w:name w:val="annotation reference"/>
    <w:basedOn w:val="Carpredefinitoparagrafo"/>
    <w:uiPriority w:val="99"/>
    <w:semiHidden/>
    <w:unhideWhenUsed/>
    <w:rsid w:val="00573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3639"/>
    <w:rPr>
      <w:rFonts w:ascii="Arial" w:eastAsia="Arial" w:hAnsi="Arial" w:cs="Arial"/>
      <w:lang w:val="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3639"/>
    <w:rPr>
      <w:rFonts w:ascii="Arial" w:eastAsia="Arial" w:hAnsi="Arial" w:cs="Arial"/>
      <w:lang w:val="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6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63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20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730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E33017"/>
  </w:style>
  <w:style w:type="paragraph" w:styleId="Revisione">
    <w:name w:val="Revision"/>
    <w:hidden/>
    <w:uiPriority w:val="99"/>
    <w:semiHidden/>
    <w:rsid w:val="00196146"/>
    <w:rPr>
      <w:rFonts w:ascii="Roman 12cpi" w:hAnsi="Roman 12cp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177"/>
    <w:rPr>
      <w:rFonts w:ascii="Roman 12cpi" w:eastAsia="Times New Roman" w:hAnsi="Roman 12cpi" w:cs="Times New Roman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6177"/>
    <w:rPr>
      <w:rFonts w:ascii="Roman 12cpi" w:eastAsia="Arial" w:hAnsi="Roman 12cpi" w:cs="Arial"/>
      <w:b/>
      <w:bCs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ie.it/buchmesse2024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56517D7A917E41B24A9665FCD508EC" ma:contentTypeVersion="18" ma:contentTypeDescription="Creare un nuovo documento." ma:contentTypeScope="" ma:versionID="b044d0ca391ce23d6c31b6d92e5b8902">
  <xsd:schema xmlns:xsd="http://www.w3.org/2001/XMLSchema" xmlns:xs="http://www.w3.org/2001/XMLSchema" xmlns:p="http://schemas.microsoft.com/office/2006/metadata/properties" xmlns:ns2="d7f63868-ff6d-41cb-a7ae-6a0dd3ac7a66" xmlns:ns3="a9d4746d-9bf3-47aa-a229-e5108e00b078" targetNamespace="http://schemas.microsoft.com/office/2006/metadata/properties" ma:root="true" ma:fieldsID="342267ecc5f8af3c224742e6698c4fc0" ns2:_="" ns3:_="">
    <xsd:import namespace="d7f63868-ff6d-41cb-a7ae-6a0dd3ac7a66"/>
    <xsd:import namespace="a9d4746d-9bf3-47aa-a229-e5108e00b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3868-ff6d-41cb-a7ae-6a0dd3ac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f91afb5-1b30-4d0f-a933-4b74fd351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746d-9bf3-47aa-a229-e5108e00b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eebba-aed3-40c5-bbfc-6661ccc79909}" ma:internalName="TaxCatchAll" ma:showField="CatchAllData" ma:web="a9d4746d-9bf3-47aa-a229-e5108e00b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4746d-9bf3-47aa-a229-e5108e00b078" xsi:nil="true"/>
    <lcf76f155ced4ddcb4097134ff3c332f xmlns="d7f63868-ff6d-41cb-a7ae-6a0dd3ac7a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C9B36F-2815-4617-8657-1C83AEC16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9E051-6D61-49E4-85F2-EEBB08F1B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63868-ff6d-41cb-a7ae-6a0dd3ac7a66"/>
    <ds:schemaRef ds:uri="a9d4746d-9bf3-47aa-a229-e5108e00b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ED639-74BC-40FE-93D7-6B40C3E7990E}">
  <ds:schemaRefs>
    <ds:schemaRef ds:uri="http://schemas.microsoft.com/office/2006/metadata/properties"/>
    <ds:schemaRef ds:uri="http://schemas.microsoft.com/office/infopath/2007/PartnerControls"/>
    <ds:schemaRef ds:uri="a9d4746d-9bf3-47aa-a229-e5108e00b078"/>
    <ds:schemaRef ds:uri="d7f63868-ff6d-41cb-a7ae-6a0dd3ac7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A.I.E.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subject>base</dc:subject>
  <dc:creator>Ivana Mazzoleni</dc:creator>
  <cp:keywords/>
  <cp:lastModifiedBy>Samuele Cafasso</cp:lastModifiedBy>
  <cp:revision>7</cp:revision>
  <cp:lastPrinted>2023-10-09T14:04:00Z</cp:lastPrinted>
  <dcterms:created xsi:type="dcterms:W3CDTF">2024-09-22T15:37:00Z</dcterms:created>
  <dcterms:modified xsi:type="dcterms:W3CDTF">2024-10-04T10:02:00Z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0x01010068B7726E5F7C52428B569A4B5CEE74B4</vt:lpwstr>
  </property>
  <property fmtid="{D5CDD505-2E9C-101B-9397-08002B2CF9AE}" pid="3" name="MediaServiceImageTags">
    <vt:lpwstr/>
  </property>
</Properties>
</file>