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5AE76" w14:textId="37E34051" w:rsidR="00550242" w:rsidRDefault="00550242" w:rsidP="00EA1102">
      <w:pPr>
        <w:spacing w:after="0"/>
        <w:jc w:val="center"/>
        <w:rPr>
          <w:b/>
          <w:sz w:val="28"/>
        </w:rPr>
      </w:pPr>
    </w:p>
    <w:p w14:paraId="24273F97" w14:textId="26F4CB06" w:rsidR="005D4E74" w:rsidRDefault="00802F53" w:rsidP="005D4E74">
      <w:pPr>
        <w:spacing w:after="0"/>
        <w:jc w:val="both"/>
        <w:rPr>
          <w:b/>
          <w:sz w:val="28"/>
        </w:rPr>
      </w:pPr>
      <w:r w:rsidRPr="00802F53">
        <w:rPr>
          <w:b/>
          <w:sz w:val="28"/>
        </w:rPr>
        <w:t>GERARDO DE SIMONE</w:t>
      </w:r>
    </w:p>
    <w:p w14:paraId="6A84BFAB" w14:textId="600C055D" w:rsidR="005D4E74" w:rsidRPr="00933296" w:rsidRDefault="00802F53" w:rsidP="005D4E74">
      <w:pPr>
        <w:spacing w:after="0"/>
        <w:jc w:val="both"/>
        <w:rPr>
          <w:b/>
          <w:bCs/>
          <w:sz w:val="28"/>
          <w:szCs w:val="28"/>
        </w:rPr>
      </w:pPr>
      <w:r>
        <w:rPr>
          <w:b/>
          <w:bCs/>
          <w:sz w:val="28"/>
          <w:szCs w:val="28"/>
        </w:rPr>
        <w:t xml:space="preserve">Curatore </w:t>
      </w:r>
      <w:r w:rsidR="007006C2">
        <w:rPr>
          <w:b/>
          <w:bCs/>
          <w:sz w:val="28"/>
          <w:szCs w:val="28"/>
        </w:rPr>
        <w:t>della mostra</w:t>
      </w:r>
    </w:p>
    <w:p w14:paraId="39C4AA25" w14:textId="52BBBF09" w:rsidR="005D4E74" w:rsidRDefault="005D4E74" w:rsidP="005D4E74">
      <w:pPr>
        <w:spacing w:after="0"/>
        <w:jc w:val="both"/>
        <w:rPr>
          <w:bCs/>
          <w:sz w:val="24"/>
          <w:szCs w:val="20"/>
        </w:rPr>
      </w:pPr>
    </w:p>
    <w:p w14:paraId="079C95D0" w14:textId="77777777" w:rsidR="007006C2" w:rsidRPr="005D4E74" w:rsidRDefault="007006C2" w:rsidP="005D4E74">
      <w:pPr>
        <w:spacing w:after="0"/>
        <w:jc w:val="both"/>
        <w:rPr>
          <w:bCs/>
          <w:sz w:val="24"/>
          <w:szCs w:val="20"/>
        </w:rPr>
      </w:pPr>
    </w:p>
    <w:p w14:paraId="10257605" w14:textId="7BCFBE86" w:rsidR="005D4E74" w:rsidRPr="007006C2" w:rsidRDefault="001E3956" w:rsidP="001E3956">
      <w:pPr>
        <w:spacing w:after="120"/>
        <w:jc w:val="both"/>
        <w:rPr>
          <w:b/>
          <w:i/>
          <w:iCs/>
          <w:sz w:val="28"/>
        </w:rPr>
      </w:pPr>
      <w:r w:rsidRPr="001E3956">
        <w:rPr>
          <w:b/>
          <w:i/>
          <w:iCs/>
          <w:sz w:val="28"/>
        </w:rPr>
        <w:t>Un’iconostasi di “figure piccole”</w:t>
      </w:r>
      <w:r>
        <w:rPr>
          <w:b/>
          <w:i/>
          <w:iCs/>
          <w:sz w:val="28"/>
        </w:rPr>
        <w:t xml:space="preserve"> </w:t>
      </w:r>
      <w:r w:rsidRPr="001E3956">
        <w:rPr>
          <w:b/>
          <w:i/>
          <w:iCs/>
          <w:sz w:val="28"/>
        </w:rPr>
        <w:t>del Beato Angelico.</w:t>
      </w:r>
      <w:r>
        <w:rPr>
          <w:b/>
          <w:i/>
          <w:iCs/>
          <w:sz w:val="28"/>
        </w:rPr>
        <w:t xml:space="preserve"> </w:t>
      </w:r>
      <w:r w:rsidRPr="001E3956">
        <w:rPr>
          <w:b/>
          <w:i/>
          <w:iCs/>
          <w:sz w:val="28"/>
        </w:rPr>
        <w:t>L’</w:t>
      </w:r>
      <w:r w:rsidRPr="001E3956">
        <w:rPr>
          <w:b/>
          <w:sz w:val="28"/>
        </w:rPr>
        <w:t>Armadio degli Argenti</w:t>
      </w:r>
      <w:r>
        <w:rPr>
          <w:b/>
          <w:sz w:val="28"/>
        </w:rPr>
        <w:t xml:space="preserve"> </w:t>
      </w:r>
      <w:r w:rsidRPr="001E3956">
        <w:rPr>
          <w:b/>
          <w:i/>
          <w:iCs/>
          <w:sz w:val="28"/>
        </w:rPr>
        <w:t>per la Santissima Annunziata</w:t>
      </w:r>
      <w:r w:rsidR="00135236" w:rsidRPr="00135236">
        <w:rPr>
          <w:b/>
          <w:i/>
          <w:iCs/>
          <w:sz w:val="28"/>
        </w:rPr>
        <w:t xml:space="preserve"> </w:t>
      </w:r>
      <w:r w:rsidR="007006C2" w:rsidRPr="007006C2">
        <w:rPr>
          <w:b/>
          <w:i/>
          <w:iCs/>
          <w:sz w:val="28"/>
        </w:rPr>
        <w:t>*</w:t>
      </w:r>
    </w:p>
    <w:p w14:paraId="6F8CF9FC" w14:textId="0E64FEB3" w:rsidR="001E3956" w:rsidRPr="006F6EDB" w:rsidRDefault="001E3956" w:rsidP="001E3956">
      <w:pPr>
        <w:spacing w:after="120"/>
        <w:jc w:val="both"/>
        <w:rPr>
          <w:bCs/>
          <w:szCs w:val="18"/>
        </w:rPr>
      </w:pPr>
      <w:r w:rsidRPr="001E3956">
        <w:rPr>
          <w:bCs/>
          <w:szCs w:val="18"/>
        </w:rPr>
        <w:t>L’</w:t>
      </w:r>
      <w:r w:rsidRPr="001E3956">
        <w:rPr>
          <w:bCs/>
          <w:i/>
          <w:iCs/>
          <w:szCs w:val="18"/>
        </w:rPr>
        <w:t xml:space="preserve">Armadio degli Argenti </w:t>
      </w:r>
      <w:r w:rsidRPr="001E3956">
        <w:rPr>
          <w:bCs/>
          <w:szCs w:val="18"/>
        </w:rPr>
        <w:t>è una delle opere più ricche, complesse e</w:t>
      </w:r>
      <w:r w:rsidRPr="006F6EDB">
        <w:rPr>
          <w:bCs/>
          <w:szCs w:val="18"/>
        </w:rPr>
        <w:t xml:space="preserve"> </w:t>
      </w:r>
      <w:r w:rsidRPr="001E3956">
        <w:rPr>
          <w:bCs/>
          <w:szCs w:val="18"/>
        </w:rPr>
        <w:t>affascinanti del Beato Angelico. Capolavoro della fase tarda dell’artista,</w:t>
      </w:r>
      <w:r w:rsidRPr="006F6EDB">
        <w:rPr>
          <w:bCs/>
          <w:szCs w:val="18"/>
        </w:rPr>
        <w:t xml:space="preserve"> </w:t>
      </w:r>
      <w:r w:rsidRPr="001E3956">
        <w:rPr>
          <w:bCs/>
          <w:szCs w:val="18"/>
        </w:rPr>
        <w:t>fu dipinto per il principale santuario mariano di Firenze, la basilica della</w:t>
      </w:r>
      <w:r w:rsidRPr="006F6EDB">
        <w:rPr>
          <w:bCs/>
          <w:szCs w:val="18"/>
        </w:rPr>
        <w:t xml:space="preserve"> </w:t>
      </w:r>
      <w:r w:rsidRPr="001E3956">
        <w:rPr>
          <w:bCs/>
          <w:szCs w:val="18"/>
        </w:rPr>
        <w:t>Santissima Annunziata. Fra Giovanni da Fiesole era reduce da un lungo</w:t>
      </w:r>
      <w:r w:rsidRPr="006F6EDB">
        <w:rPr>
          <w:bCs/>
          <w:szCs w:val="18"/>
        </w:rPr>
        <w:t xml:space="preserve"> </w:t>
      </w:r>
      <w:r w:rsidRPr="001E3956">
        <w:rPr>
          <w:bCs/>
          <w:szCs w:val="18"/>
        </w:rPr>
        <w:t>e prestigioso soggiorno a Roma, dove era stato chiamato verso la fine</w:t>
      </w:r>
      <w:r w:rsidRPr="006F6EDB">
        <w:rPr>
          <w:bCs/>
          <w:szCs w:val="18"/>
        </w:rPr>
        <w:t xml:space="preserve"> </w:t>
      </w:r>
      <w:r w:rsidRPr="001E3956">
        <w:rPr>
          <w:bCs/>
          <w:szCs w:val="18"/>
        </w:rPr>
        <w:t>del 1445 a decorare la cappella del Sacramento nei Palazzi Vaticani dal</w:t>
      </w:r>
      <w:r w:rsidRPr="006F6EDB">
        <w:rPr>
          <w:bCs/>
          <w:szCs w:val="18"/>
        </w:rPr>
        <w:t xml:space="preserve"> pontefice Eugenio IV, che ne aveva apprezzato le doti quando, esule </w:t>
      </w:r>
      <w:r w:rsidRPr="001E3956">
        <w:rPr>
          <w:bCs/>
          <w:szCs w:val="18"/>
        </w:rPr>
        <w:t>dall’Urbe, lo vide all’opera nelle celle del convento fiorentino di San</w:t>
      </w:r>
      <w:r w:rsidRPr="006F6EDB">
        <w:rPr>
          <w:bCs/>
          <w:szCs w:val="18"/>
        </w:rPr>
        <w:t xml:space="preserve"> </w:t>
      </w:r>
      <w:r w:rsidRPr="001E3956">
        <w:rPr>
          <w:bCs/>
          <w:szCs w:val="18"/>
        </w:rPr>
        <w:t>Marco, il ciclo oggi più noto del pittore. Delle quattro commissioni</w:t>
      </w:r>
      <w:r w:rsidRPr="006F6EDB">
        <w:rPr>
          <w:bCs/>
          <w:szCs w:val="18"/>
        </w:rPr>
        <w:t xml:space="preserve"> </w:t>
      </w:r>
      <w:r w:rsidRPr="001E3956">
        <w:rPr>
          <w:bCs/>
          <w:szCs w:val="18"/>
        </w:rPr>
        <w:t>vaticane sopravvive la sola cappella Niccolina, eseguita per il successore</w:t>
      </w:r>
      <w:r w:rsidRPr="006F6EDB">
        <w:rPr>
          <w:bCs/>
          <w:szCs w:val="18"/>
        </w:rPr>
        <w:t xml:space="preserve"> </w:t>
      </w:r>
      <w:r w:rsidRPr="001E3956">
        <w:rPr>
          <w:bCs/>
          <w:szCs w:val="18"/>
        </w:rPr>
        <w:t xml:space="preserve">di papa Condulmer, Niccolò V </w:t>
      </w:r>
      <w:proofErr w:type="spellStart"/>
      <w:r w:rsidRPr="001E3956">
        <w:rPr>
          <w:bCs/>
          <w:szCs w:val="18"/>
        </w:rPr>
        <w:t>Parentucelli</w:t>
      </w:r>
      <w:proofErr w:type="spellEnd"/>
      <w:r w:rsidRPr="001E3956">
        <w:rPr>
          <w:bCs/>
          <w:szCs w:val="18"/>
        </w:rPr>
        <w:t xml:space="preserve">, nel 1448. Le </w:t>
      </w:r>
      <w:r w:rsidRPr="001E3956">
        <w:rPr>
          <w:bCs/>
          <w:i/>
          <w:iCs/>
          <w:szCs w:val="18"/>
        </w:rPr>
        <w:t>Storie dei protomartiri</w:t>
      </w:r>
      <w:r w:rsidRPr="006F6EDB">
        <w:rPr>
          <w:bCs/>
          <w:i/>
          <w:iCs/>
          <w:szCs w:val="18"/>
        </w:rPr>
        <w:t xml:space="preserve"> </w:t>
      </w:r>
      <w:r w:rsidRPr="001E3956">
        <w:rPr>
          <w:bCs/>
          <w:i/>
          <w:iCs/>
          <w:szCs w:val="18"/>
        </w:rPr>
        <w:t xml:space="preserve">Stefano e Lorenzo </w:t>
      </w:r>
      <w:r w:rsidRPr="001E3956">
        <w:rPr>
          <w:bCs/>
          <w:szCs w:val="18"/>
        </w:rPr>
        <w:t>sono tuttavia sufficienti per noi a certificare</w:t>
      </w:r>
      <w:r w:rsidRPr="006F6EDB">
        <w:rPr>
          <w:bCs/>
          <w:szCs w:val="18"/>
        </w:rPr>
        <w:t xml:space="preserve"> </w:t>
      </w:r>
      <w:r w:rsidRPr="001E3956">
        <w:rPr>
          <w:bCs/>
          <w:szCs w:val="18"/>
        </w:rPr>
        <w:t>lo status di eccellenza raggiunto a quelle date dall’Angelico: “</w:t>
      </w:r>
      <w:proofErr w:type="spellStart"/>
      <w:r w:rsidRPr="001E3956">
        <w:rPr>
          <w:bCs/>
          <w:szCs w:val="18"/>
        </w:rPr>
        <w:t>famosus</w:t>
      </w:r>
      <w:proofErr w:type="spellEnd"/>
      <w:r w:rsidRPr="006F6EDB">
        <w:rPr>
          <w:bCs/>
          <w:szCs w:val="18"/>
        </w:rPr>
        <w:t xml:space="preserve"> </w:t>
      </w:r>
      <w:r w:rsidRPr="001E3956">
        <w:rPr>
          <w:bCs/>
          <w:szCs w:val="18"/>
        </w:rPr>
        <w:t xml:space="preserve">ultra omnes </w:t>
      </w:r>
      <w:proofErr w:type="spellStart"/>
      <w:r w:rsidRPr="001E3956">
        <w:rPr>
          <w:bCs/>
          <w:szCs w:val="18"/>
        </w:rPr>
        <w:t>pictores</w:t>
      </w:r>
      <w:proofErr w:type="spellEnd"/>
      <w:r w:rsidRPr="001E3956">
        <w:rPr>
          <w:bCs/>
          <w:szCs w:val="18"/>
        </w:rPr>
        <w:t xml:space="preserve"> </w:t>
      </w:r>
      <w:proofErr w:type="spellStart"/>
      <w:r w:rsidRPr="001E3956">
        <w:rPr>
          <w:bCs/>
          <w:szCs w:val="18"/>
        </w:rPr>
        <w:t>ytalicos</w:t>
      </w:r>
      <w:proofErr w:type="spellEnd"/>
      <w:r w:rsidRPr="001E3956">
        <w:rPr>
          <w:bCs/>
          <w:szCs w:val="18"/>
        </w:rPr>
        <w:t>”, il più celebre di tutti i pittori italiani, lo</w:t>
      </w:r>
      <w:r w:rsidRPr="006F6EDB">
        <w:rPr>
          <w:bCs/>
          <w:szCs w:val="18"/>
        </w:rPr>
        <w:t xml:space="preserve"> </w:t>
      </w:r>
      <w:r w:rsidRPr="001E3956">
        <w:rPr>
          <w:bCs/>
          <w:szCs w:val="18"/>
        </w:rPr>
        <w:t>definisce un documento orvietano dell’11 maggio 1447, con il quale</w:t>
      </w:r>
      <w:r w:rsidRPr="006F6EDB">
        <w:rPr>
          <w:bCs/>
          <w:szCs w:val="18"/>
        </w:rPr>
        <w:t xml:space="preserve"> </w:t>
      </w:r>
      <w:r w:rsidRPr="001E3956">
        <w:rPr>
          <w:bCs/>
          <w:szCs w:val="18"/>
        </w:rPr>
        <w:t>l’Opera del Duomo della città umbra deliberava di assoldarlo nei mesi</w:t>
      </w:r>
      <w:r w:rsidRPr="006F6EDB">
        <w:rPr>
          <w:bCs/>
          <w:szCs w:val="18"/>
        </w:rPr>
        <w:t xml:space="preserve"> </w:t>
      </w:r>
      <w:r w:rsidRPr="001E3956">
        <w:rPr>
          <w:bCs/>
          <w:szCs w:val="18"/>
        </w:rPr>
        <w:t>estivi – quando i lavori romani si interrompevano – per la decorazione</w:t>
      </w:r>
      <w:r w:rsidRPr="006F6EDB">
        <w:rPr>
          <w:bCs/>
          <w:szCs w:val="18"/>
        </w:rPr>
        <w:t xml:space="preserve"> </w:t>
      </w:r>
      <w:r w:rsidRPr="001E3956">
        <w:rPr>
          <w:bCs/>
          <w:szCs w:val="18"/>
        </w:rPr>
        <w:t>ad affresco della cappella di San Brizio.</w:t>
      </w:r>
    </w:p>
    <w:p w14:paraId="18A80E73" w14:textId="1BAEC0AE" w:rsidR="001E3956" w:rsidRPr="001E3956" w:rsidRDefault="001E3956" w:rsidP="001E3956">
      <w:pPr>
        <w:spacing w:after="120"/>
        <w:jc w:val="both"/>
        <w:rPr>
          <w:bCs/>
          <w:szCs w:val="18"/>
        </w:rPr>
      </w:pPr>
      <w:r w:rsidRPr="001E3956">
        <w:rPr>
          <w:bCs/>
          <w:szCs w:val="18"/>
        </w:rPr>
        <w:t>A determinare il ritorno in patria di Fra Giovanni fu un incarico non</w:t>
      </w:r>
      <w:r w:rsidRPr="006F6EDB">
        <w:rPr>
          <w:bCs/>
          <w:szCs w:val="18"/>
        </w:rPr>
        <w:t xml:space="preserve"> </w:t>
      </w:r>
      <w:r w:rsidRPr="001E3956">
        <w:rPr>
          <w:bCs/>
          <w:szCs w:val="18"/>
        </w:rPr>
        <w:t>artistico ma religioso: il suo convento d’appartenenza, San Domenico di</w:t>
      </w:r>
      <w:r w:rsidRPr="006F6EDB">
        <w:rPr>
          <w:bCs/>
          <w:szCs w:val="18"/>
        </w:rPr>
        <w:t xml:space="preserve"> </w:t>
      </w:r>
      <w:r w:rsidRPr="001E3956">
        <w:rPr>
          <w:bCs/>
          <w:szCs w:val="18"/>
        </w:rPr>
        <w:t>Fiesole (avanguardia del ramo osservante dei frati predicatori, fondato</w:t>
      </w:r>
      <w:r w:rsidRPr="006F6EDB">
        <w:rPr>
          <w:bCs/>
          <w:szCs w:val="18"/>
        </w:rPr>
        <w:t xml:space="preserve"> </w:t>
      </w:r>
      <w:r w:rsidRPr="001E3956">
        <w:rPr>
          <w:bCs/>
          <w:szCs w:val="18"/>
        </w:rPr>
        <w:t>da Giovanni Dominici nel 1406) lo elesse infatti priore. Il pittore esercitò</w:t>
      </w:r>
      <w:r w:rsidRPr="006F6EDB">
        <w:rPr>
          <w:bCs/>
          <w:szCs w:val="18"/>
        </w:rPr>
        <w:t xml:space="preserve"> </w:t>
      </w:r>
      <w:r w:rsidRPr="001E3956">
        <w:rPr>
          <w:bCs/>
          <w:szCs w:val="18"/>
        </w:rPr>
        <w:t>il mandato per il canonico biennio (1450-1452), per poi spostarsi</w:t>
      </w:r>
      <w:r w:rsidRPr="006F6EDB">
        <w:rPr>
          <w:bCs/>
          <w:szCs w:val="18"/>
        </w:rPr>
        <w:t xml:space="preserve"> </w:t>
      </w:r>
      <w:r w:rsidRPr="001E3956">
        <w:rPr>
          <w:bCs/>
          <w:szCs w:val="18"/>
        </w:rPr>
        <w:t>nuovamente a Roma, dove avrebbe trovato alfine la morte il 18 febbraio</w:t>
      </w:r>
      <w:r w:rsidRPr="006F6EDB">
        <w:rPr>
          <w:bCs/>
          <w:szCs w:val="18"/>
        </w:rPr>
        <w:t xml:space="preserve"> </w:t>
      </w:r>
      <w:r w:rsidRPr="001E3956">
        <w:rPr>
          <w:bCs/>
          <w:szCs w:val="18"/>
        </w:rPr>
        <w:t>1455. Il primo documento in cui l’Angelico figura come priore è del</w:t>
      </w:r>
      <w:r w:rsidRPr="006F6EDB">
        <w:rPr>
          <w:bCs/>
          <w:szCs w:val="18"/>
        </w:rPr>
        <w:t xml:space="preserve"> </w:t>
      </w:r>
      <w:r w:rsidRPr="001E3956">
        <w:rPr>
          <w:bCs/>
          <w:szCs w:val="18"/>
        </w:rPr>
        <w:t>giugno 1450: in tale carica successe a suo fratello, Benedetto di Piero.</w:t>
      </w:r>
      <w:r w:rsidRPr="006F6EDB">
        <w:rPr>
          <w:bCs/>
          <w:szCs w:val="18"/>
        </w:rPr>
        <w:t xml:space="preserve"> </w:t>
      </w:r>
      <w:r w:rsidRPr="001E3956">
        <w:rPr>
          <w:bCs/>
          <w:szCs w:val="18"/>
        </w:rPr>
        <w:t>La morte di Benedetto, già avvenuta nel marzo del 1450, dovette essere</w:t>
      </w:r>
      <w:r w:rsidRPr="006F6EDB">
        <w:rPr>
          <w:bCs/>
          <w:szCs w:val="18"/>
        </w:rPr>
        <w:t xml:space="preserve"> </w:t>
      </w:r>
      <w:r w:rsidRPr="001E3956">
        <w:rPr>
          <w:bCs/>
          <w:szCs w:val="18"/>
        </w:rPr>
        <w:t>preceduta da un periodo di malattia, che probabilmente stimolò il pittore</w:t>
      </w:r>
      <w:r w:rsidRPr="006F6EDB">
        <w:rPr>
          <w:bCs/>
          <w:szCs w:val="18"/>
        </w:rPr>
        <w:t xml:space="preserve"> </w:t>
      </w:r>
      <w:r w:rsidRPr="001E3956">
        <w:rPr>
          <w:bCs/>
          <w:szCs w:val="18"/>
        </w:rPr>
        <w:t>al rientro in Toscana già nella seconda metà del 1449, avendo nel</w:t>
      </w:r>
      <w:r w:rsidRPr="006F6EDB">
        <w:rPr>
          <w:bCs/>
          <w:szCs w:val="18"/>
        </w:rPr>
        <w:t xml:space="preserve"> </w:t>
      </w:r>
      <w:r w:rsidRPr="001E3956">
        <w:rPr>
          <w:bCs/>
          <w:szCs w:val="18"/>
        </w:rPr>
        <w:t>frattempo concluso i propri impegni presso il papa.</w:t>
      </w:r>
    </w:p>
    <w:p w14:paraId="4260EBD7" w14:textId="77777777" w:rsidR="006F6EDB" w:rsidRPr="001E3956" w:rsidRDefault="006F6EDB" w:rsidP="006F6EDB">
      <w:pPr>
        <w:spacing w:after="120"/>
        <w:jc w:val="both"/>
        <w:rPr>
          <w:bCs/>
          <w:szCs w:val="18"/>
        </w:rPr>
      </w:pPr>
      <w:r w:rsidRPr="006F6EDB">
        <w:rPr>
          <w:bCs/>
          <w:szCs w:val="18"/>
        </w:rPr>
        <w:t xml:space="preserve">(…) </w:t>
      </w:r>
    </w:p>
    <w:p w14:paraId="10F02428" w14:textId="7FBE6EF8" w:rsidR="001E3956" w:rsidRPr="006F6EDB" w:rsidRDefault="001E3956" w:rsidP="001E3956">
      <w:pPr>
        <w:spacing w:after="120"/>
        <w:jc w:val="both"/>
        <w:rPr>
          <w:bCs/>
          <w:szCs w:val="18"/>
        </w:rPr>
      </w:pPr>
      <w:r w:rsidRPr="001E3956">
        <w:rPr>
          <w:bCs/>
          <w:szCs w:val="18"/>
        </w:rPr>
        <w:t>L’</w:t>
      </w:r>
      <w:r w:rsidRPr="001E3956">
        <w:rPr>
          <w:bCs/>
          <w:i/>
          <w:iCs/>
          <w:szCs w:val="18"/>
        </w:rPr>
        <w:t xml:space="preserve">Armadio degli Argenti </w:t>
      </w:r>
      <w:r w:rsidRPr="001E3956">
        <w:rPr>
          <w:bCs/>
          <w:szCs w:val="18"/>
        </w:rPr>
        <w:t>è composto di trentasei formelle quadrate (38,5 ×</w:t>
      </w:r>
      <w:r w:rsidR="006F6EDB" w:rsidRPr="006F6EDB">
        <w:rPr>
          <w:bCs/>
          <w:szCs w:val="18"/>
        </w:rPr>
        <w:t xml:space="preserve"> </w:t>
      </w:r>
      <w:r w:rsidRPr="001E3956">
        <w:rPr>
          <w:bCs/>
          <w:szCs w:val="18"/>
        </w:rPr>
        <w:t xml:space="preserve">37 cm), per un totale di trentacinque episodi – il </w:t>
      </w:r>
      <w:r w:rsidRPr="001E3956">
        <w:rPr>
          <w:bCs/>
          <w:i/>
          <w:iCs/>
          <w:szCs w:val="18"/>
        </w:rPr>
        <w:t xml:space="preserve">Giudizio finale </w:t>
      </w:r>
      <w:r w:rsidRPr="001E3956">
        <w:rPr>
          <w:bCs/>
          <w:szCs w:val="18"/>
        </w:rPr>
        <w:t>occupa</w:t>
      </w:r>
      <w:r w:rsidR="006F6EDB" w:rsidRPr="006F6EDB">
        <w:rPr>
          <w:bCs/>
          <w:szCs w:val="18"/>
        </w:rPr>
        <w:t xml:space="preserve"> </w:t>
      </w:r>
      <w:r w:rsidRPr="001E3956">
        <w:rPr>
          <w:bCs/>
          <w:szCs w:val="18"/>
        </w:rPr>
        <w:t>due formelle –, oggi assemblate in quattro scomparti di nove, tre, dodici e</w:t>
      </w:r>
      <w:r w:rsidR="006F6EDB" w:rsidRPr="006F6EDB">
        <w:rPr>
          <w:bCs/>
          <w:szCs w:val="18"/>
        </w:rPr>
        <w:t xml:space="preserve"> </w:t>
      </w:r>
      <w:r w:rsidRPr="001E3956">
        <w:rPr>
          <w:bCs/>
          <w:szCs w:val="18"/>
        </w:rPr>
        <w:t>undici scene. La configurazione originaria prevedeva, secondo l’attendibile</w:t>
      </w:r>
      <w:r w:rsidR="006F6EDB" w:rsidRPr="006F6EDB">
        <w:rPr>
          <w:bCs/>
          <w:szCs w:val="18"/>
        </w:rPr>
        <w:t xml:space="preserve"> </w:t>
      </w:r>
      <w:r w:rsidRPr="001E3956">
        <w:rPr>
          <w:bCs/>
          <w:szCs w:val="18"/>
        </w:rPr>
        <w:t>ricostruzione di Andrea De Marchi quattro formelle di base sviluppate</w:t>
      </w:r>
      <w:r w:rsidR="006F6EDB" w:rsidRPr="006F6EDB">
        <w:rPr>
          <w:bCs/>
          <w:szCs w:val="18"/>
        </w:rPr>
        <w:t xml:space="preserve"> </w:t>
      </w:r>
      <w:r w:rsidRPr="001E3956">
        <w:rPr>
          <w:bCs/>
          <w:szCs w:val="18"/>
        </w:rPr>
        <w:t>su nove file sovrapposte: tale struttura era divisa in due ante</w:t>
      </w:r>
      <w:r w:rsidR="006F6EDB" w:rsidRPr="006F6EDB">
        <w:rPr>
          <w:bCs/>
          <w:szCs w:val="18"/>
        </w:rPr>
        <w:t xml:space="preserve"> </w:t>
      </w:r>
      <w:r w:rsidRPr="001E3956">
        <w:rPr>
          <w:bCs/>
          <w:szCs w:val="18"/>
        </w:rPr>
        <w:t>verticali (ciascuna con due formelle di base). L’altezza totale risultante di</w:t>
      </w:r>
      <w:r w:rsidR="006F6EDB" w:rsidRPr="006F6EDB">
        <w:rPr>
          <w:bCs/>
          <w:szCs w:val="18"/>
        </w:rPr>
        <w:t xml:space="preserve"> </w:t>
      </w:r>
      <w:r w:rsidRPr="001E3956">
        <w:rPr>
          <w:bCs/>
          <w:szCs w:val="18"/>
        </w:rPr>
        <w:t>circa 344 cm è combaciante con le misure dei “</w:t>
      </w:r>
      <w:proofErr w:type="spellStart"/>
      <w:r w:rsidRPr="001E3956">
        <w:rPr>
          <w:bCs/>
          <w:szCs w:val="18"/>
        </w:rPr>
        <w:t>cardinaletti</w:t>
      </w:r>
      <w:proofErr w:type="spellEnd"/>
      <w:r w:rsidRPr="001E3956">
        <w:rPr>
          <w:bCs/>
          <w:szCs w:val="18"/>
        </w:rPr>
        <w:t xml:space="preserve"> </w:t>
      </w:r>
      <w:proofErr w:type="spellStart"/>
      <w:r w:rsidRPr="001E3956">
        <w:rPr>
          <w:bCs/>
          <w:szCs w:val="18"/>
        </w:rPr>
        <w:t>intachati</w:t>
      </w:r>
      <w:proofErr w:type="spellEnd"/>
      <w:r w:rsidRPr="001E3956">
        <w:rPr>
          <w:bCs/>
          <w:szCs w:val="18"/>
        </w:rPr>
        <w:t xml:space="preserve"> in faccia</w:t>
      </w:r>
      <w:r w:rsidR="006F6EDB" w:rsidRPr="006F6EDB">
        <w:rPr>
          <w:bCs/>
          <w:szCs w:val="18"/>
        </w:rPr>
        <w:t xml:space="preserve"> </w:t>
      </w:r>
      <w:r w:rsidRPr="001E3956">
        <w:rPr>
          <w:bCs/>
          <w:szCs w:val="18"/>
        </w:rPr>
        <w:t>per l’</w:t>
      </w:r>
      <w:proofErr w:type="spellStart"/>
      <w:r w:rsidRPr="001E3956">
        <w:rPr>
          <w:bCs/>
          <w:szCs w:val="18"/>
        </w:rPr>
        <w:t>Armario</w:t>
      </w:r>
      <w:proofErr w:type="spellEnd"/>
      <w:r w:rsidRPr="001E3956">
        <w:rPr>
          <w:bCs/>
          <w:szCs w:val="18"/>
        </w:rPr>
        <w:t xml:space="preserve"> della Nunziata dove </w:t>
      </w:r>
      <w:proofErr w:type="spellStart"/>
      <w:r w:rsidRPr="001E3956">
        <w:rPr>
          <w:bCs/>
          <w:szCs w:val="18"/>
        </w:rPr>
        <w:t>a’</w:t>
      </w:r>
      <w:proofErr w:type="spellEnd"/>
      <w:r w:rsidRPr="001E3956">
        <w:rPr>
          <w:bCs/>
          <w:szCs w:val="18"/>
        </w:rPr>
        <w:t xml:space="preserve"> stare </w:t>
      </w:r>
      <w:r w:rsidRPr="001E3956">
        <w:rPr>
          <w:bCs/>
          <w:szCs w:val="18"/>
        </w:rPr>
        <w:lastRenderedPageBreak/>
        <w:t>l’</w:t>
      </w:r>
      <w:proofErr w:type="spellStart"/>
      <w:r w:rsidRPr="001E3956">
        <w:rPr>
          <w:bCs/>
          <w:szCs w:val="18"/>
        </w:rPr>
        <w:t>ariento</w:t>
      </w:r>
      <w:proofErr w:type="spellEnd"/>
      <w:r w:rsidRPr="001E3956">
        <w:rPr>
          <w:bCs/>
          <w:szCs w:val="18"/>
        </w:rPr>
        <w:t>”: 11 braccia e ¾,</w:t>
      </w:r>
      <w:r w:rsidR="006F6EDB" w:rsidRPr="006F6EDB">
        <w:rPr>
          <w:bCs/>
          <w:szCs w:val="18"/>
        </w:rPr>
        <w:t xml:space="preserve"> </w:t>
      </w:r>
      <w:r w:rsidRPr="001E3956">
        <w:rPr>
          <w:bCs/>
          <w:szCs w:val="18"/>
        </w:rPr>
        <w:t>cioè, tenuto conto che un braccio fiorentino corrisponde a 58 cm, 686 cm,</w:t>
      </w:r>
      <w:r w:rsidR="006F6EDB" w:rsidRPr="006F6EDB">
        <w:rPr>
          <w:bCs/>
          <w:szCs w:val="18"/>
        </w:rPr>
        <w:t xml:space="preserve"> </w:t>
      </w:r>
      <w:r w:rsidRPr="001E3956">
        <w:rPr>
          <w:bCs/>
          <w:szCs w:val="18"/>
        </w:rPr>
        <w:t>vale a dire 343 per ciascuno dei due cardini. Tale assetto è compatibile con</w:t>
      </w:r>
      <w:r w:rsidR="006F6EDB" w:rsidRPr="006F6EDB">
        <w:rPr>
          <w:bCs/>
          <w:szCs w:val="18"/>
        </w:rPr>
        <w:t xml:space="preserve"> </w:t>
      </w:r>
      <w:r w:rsidRPr="001E3956">
        <w:rPr>
          <w:bCs/>
          <w:szCs w:val="18"/>
        </w:rPr>
        <w:t xml:space="preserve">il secondo e il terzo dei </w:t>
      </w:r>
      <w:proofErr w:type="spellStart"/>
      <w:r w:rsidRPr="001E3956">
        <w:rPr>
          <w:bCs/>
          <w:szCs w:val="18"/>
        </w:rPr>
        <w:t>macroriquadri</w:t>
      </w:r>
      <w:proofErr w:type="spellEnd"/>
      <w:r w:rsidRPr="001E3956">
        <w:rPr>
          <w:bCs/>
          <w:szCs w:val="18"/>
        </w:rPr>
        <w:t xml:space="preserve"> in cui oggi è divisa l’opera (dalla</w:t>
      </w:r>
      <w:r w:rsidR="006F6EDB" w:rsidRPr="006F6EDB">
        <w:rPr>
          <w:bCs/>
          <w:szCs w:val="18"/>
        </w:rPr>
        <w:t xml:space="preserve"> </w:t>
      </w:r>
      <w:r w:rsidRPr="006F6EDB">
        <w:rPr>
          <w:bCs/>
          <w:i/>
          <w:iCs/>
          <w:szCs w:val="18"/>
        </w:rPr>
        <w:t xml:space="preserve">Resurrezione di Lazzaro </w:t>
      </w:r>
      <w:r w:rsidRPr="006F6EDB">
        <w:rPr>
          <w:bCs/>
          <w:szCs w:val="18"/>
        </w:rPr>
        <w:t xml:space="preserve">alla </w:t>
      </w:r>
      <w:r w:rsidRPr="006F6EDB">
        <w:rPr>
          <w:bCs/>
          <w:i/>
          <w:iCs/>
          <w:szCs w:val="18"/>
        </w:rPr>
        <w:t>Flagellazione</w:t>
      </w:r>
      <w:r w:rsidRPr="006F6EDB">
        <w:rPr>
          <w:bCs/>
          <w:szCs w:val="18"/>
        </w:rPr>
        <w:t>, e dall’</w:t>
      </w:r>
      <w:r w:rsidRPr="006F6EDB">
        <w:rPr>
          <w:bCs/>
          <w:i/>
          <w:iCs/>
          <w:szCs w:val="18"/>
        </w:rPr>
        <w:t>Andata al Calvario</w:t>
      </w:r>
      <w:r w:rsidR="006F6EDB" w:rsidRPr="006F6EDB">
        <w:rPr>
          <w:bCs/>
          <w:i/>
          <w:iCs/>
          <w:szCs w:val="18"/>
        </w:rPr>
        <w:t xml:space="preserve"> </w:t>
      </w:r>
      <w:r w:rsidRPr="001E3956">
        <w:rPr>
          <w:bCs/>
          <w:szCs w:val="18"/>
        </w:rPr>
        <w:t xml:space="preserve">alla </w:t>
      </w:r>
      <w:proofErr w:type="spellStart"/>
      <w:r w:rsidRPr="001E3956">
        <w:rPr>
          <w:bCs/>
          <w:i/>
          <w:iCs/>
          <w:szCs w:val="18"/>
        </w:rPr>
        <w:t>Lex</w:t>
      </w:r>
      <w:proofErr w:type="spellEnd"/>
      <w:r w:rsidRPr="001E3956">
        <w:rPr>
          <w:bCs/>
          <w:i/>
          <w:iCs/>
          <w:szCs w:val="18"/>
        </w:rPr>
        <w:t xml:space="preserve"> </w:t>
      </w:r>
      <w:proofErr w:type="spellStart"/>
      <w:r w:rsidRPr="001E3956">
        <w:rPr>
          <w:bCs/>
          <w:i/>
          <w:iCs/>
          <w:szCs w:val="18"/>
        </w:rPr>
        <w:t>Amoris</w:t>
      </w:r>
      <w:proofErr w:type="spellEnd"/>
      <w:r w:rsidRPr="001E3956">
        <w:rPr>
          <w:bCs/>
          <w:szCs w:val="18"/>
        </w:rPr>
        <w:t>), presupponendo l’abbinamento del primo riquadro</w:t>
      </w:r>
      <w:r w:rsidR="006F6EDB" w:rsidRPr="006F6EDB">
        <w:rPr>
          <w:bCs/>
          <w:szCs w:val="18"/>
        </w:rPr>
        <w:t xml:space="preserve"> </w:t>
      </w:r>
      <w:r w:rsidRPr="001E3956">
        <w:rPr>
          <w:bCs/>
          <w:szCs w:val="18"/>
        </w:rPr>
        <w:t xml:space="preserve">– con nove formelle, dalla </w:t>
      </w:r>
      <w:r w:rsidRPr="001E3956">
        <w:rPr>
          <w:bCs/>
          <w:i/>
          <w:iCs/>
          <w:szCs w:val="18"/>
        </w:rPr>
        <w:t xml:space="preserve">Visione di Ezechiele </w:t>
      </w:r>
      <w:r w:rsidRPr="001E3956">
        <w:rPr>
          <w:bCs/>
          <w:szCs w:val="18"/>
        </w:rPr>
        <w:t xml:space="preserve">alla </w:t>
      </w:r>
      <w:r w:rsidRPr="001E3956">
        <w:rPr>
          <w:bCs/>
          <w:i/>
          <w:iCs/>
          <w:szCs w:val="18"/>
        </w:rPr>
        <w:t xml:space="preserve">Disputa tra i dottori </w:t>
      </w:r>
      <w:r w:rsidRPr="001E3956">
        <w:rPr>
          <w:bCs/>
          <w:szCs w:val="18"/>
        </w:rPr>
        <w:t>–</w:t>
      </w:r>
      <w:r w:rsidR="006F6EDB" w:rsidRPr="006F6EDB">
        <w:rPr>
          <w:bCs/>
          <w:szCs w:val="18"/>
        </w:rPr>
        <w:t xml:space="preserve"> </w:t>
      </w:r>
      <w:r w:rsidRPr="001E3956">
        <w:rPr>
          <w:bCs/>
          <w:szCs w:val="18"/>
        </w:rPr>
        <w:t xml:space="preserve">con la fascia dipinta da Alesso </w:t>
      </w:r>
      <w:proofErr w:type="spellStart"/>
      <w:r w:rsidRPr="001E3956">
        <w:rPr>
          <w:bCs/>
          <w:szCs w:val="18"/>
        </w:rPr>
        <w:t>Baldovinetti</w:t>
      </w:r>
      <w:proofErr w:type="spellEnd"/>
      <w:r w:rsidRPr="001E3956">
        <w:rPr>
          <w:bCs/>
          <w:szCs w:val="18"/>
        </w:rPr>
        <w:t xml:space="preserve"> (</w:t>
      </w:r>
      <w:r w:rsidRPr="001E3956">
        <w:rPr>
          <w:bCs/>
          <w:i/>
          <w:iCs/>
          <w:szCs w:val="18"/>
        </w:rPr>
        <w:t>Nozze di Cana</w:t>
      </w:r>
      <w:r w:rsidRPr="001E3956">
        <w:rPr>
          <w:bCs/>
          <w:szCs w:val="18"/>
        </w:rPr>
        <w:t xml:space="preserve">, </w:t>
      </w:r>
      <w:r w:rsidRPr="001E3956">
        <w:rPr>
          <w:bCs/>
          <w:i/>
          <w:iCs/>
          <w:szCs w:val="18"/>
        </w:rPr>
        <w:t>Battesimo di</w:t>
      </w:r>
      <w:r w:rsidR="006F6EDB" w:rsidRPr="006F6EDB">
        <w:rPr>
          <w:bCs/>
          <w:i/>
          <w:iCs/>
          <w:szCs w:val="18"/>
        </w:rPr>
        <w:t xml:space="preserve"> </w:t>
      </w:r>
      <w:r w:rsidRPr="001E3956">
        <w:rPr>
          <w:bCs/>
          <w:i/>
          <w:iCs/>
          <w:szCs w:val="18"/>
        </w:rPr>
        <w:t>Cristo</w:t>
      </w:r>
      <w:r w:rsidRPr="001E3956">
        <w:rPr>
          <w:bCs/>
          <w:szCs w:val="18"/>
        </w:rPr>
        <w:t xml:space="preserve">, </w:t>
      </w:r>
      <w:r w:rsidRPr="001E3956">
        <w:rPr>
          <w:bCs/>
          <w:i/>
          <w:iCs/>
          <w:szCs w:val="18"/>
        </w:rPr>
        <w:t>Trasfigurazione</w:t>
      </w:r>
      <w:r w:rsidR="006F6EDB" w:rsidRPr="006F6EDB">
        <w:rPr>
          <w:bCs/>
          <w:szCs w:val="18"/>
        </w:rPr>
        <w:t>,</w:t>
      </w:r>
      <w:r w:rsidRPr="001E3956">
        <w:rPr>
          <w:bCs/>
          <w:szCs w:val="18"/>
        </w:rPr>
        <w:t xml:space="preserve"> a costituire il </w:t>
      </w:r>
      <w:proofErr w:type="spellStart"/>
      <w:r w:rsidRPr="001E3956">
        <w:rPr>
          <w:bCs/>
          <w:szCs w:val="18"/>
        </w:rPr>
        <w:t>macroscomparto</w:t>
      </w:r>
      <w:proofErr w:type="spellEnd"/>
      <w:r w:rsidRPr="001E3956">
        <w:rPr>
          <w:bCs/>
          <w:szCs w:val="18"/>
        </w:rPr>
        <w:t xml:space="preserve"> superiore.</w:t>
      </w:r>
      <w:r w:rsidR="006F6EDB" w:rsidRPr="006F6EDB">
        <w:rPr>
          <w:bCs/>
          <w:szCs w:val="18"/>
        </w:rPr>
        <w:t xml:space="preserve"> </w:t>
      </w:r>
      <w:r w:rsidRPr="001E3956">
        <w:rPr>
          <w:bCs/>
          <w:szCs w:val="18"/>
        </w:rPr>
        <w:t>La ricchissima iconografia dell’</w:t>
      </w:r>
      <w:r w:rsidRPr="001E3956">
        <w:rPr>
          <w:bCs/>
          <w:i/>
          <w:iCs/>
          <w:szCs w:val="18"/>
        </w:rPr>
        <w:t xml:space="preserve">Armadio </w:t>
      </w:r>
      <w:r w:rsidRPr="001E3956">
        <w:rPr>
          <w:bCs/>
          <w:szCs w:val="18"/>
        </w:rPr>
        <w:t>include otto episodi dell’infanzia</w:t>
      </w:r>
      <w:r w:rsidR="006F6EDB" w:rsidRPr="006F6EDB">
        <w:rPr>
          <w:bCs/>
          <w:szCs w:val="18"/>
        </w:rPr>
        <w:t xml:space="preserve"> </w:t>
      </w:r>
      <w:r w:rsidRPr="001E3956">
        <w:rPr>
          <w:bCs/>
          <w:szCs w:val="18"/>
        </w:rPr>
        <w:t>di Cristo, dall’</w:t>
      </w:r>
      <w:r w:rsidRPr="001E3956">
        <w:rPr>
          <w:bCs/>
          <w:i/>
          <w:iCs/>
          <w:szCs w:val="18"/>
        </w:rPr>
        <w:t xml:space="preserve">Annunciazione </w:t>
      </w:r>
      <w:r w:rsidRPr="001E3956">
        <w:rPr>
          <w:bCs/>
          <w:szCs w:val="18"/>
        </w:rPr>
        <w:t xml:space="preserve">alla </w:t>
      </w:r>
      <w:r w:rsidRPr="001E3956">
        <w:rPr>
          <w:bCs/>
          <w:i/>
          <w:iCs/>
          <w:szCs w:val="18"/>
        </w:rPr>
        <w:t>Disputa tra i dottori</w:t>
      </w:r>
      <w:r w:rsidRPr="001E3956">
        <w:rPr>
          <w:bCs/>
          <w:szCs w:val="18"/>
        </w:rPr>
        <w:t xml:space="preserve">, tre relativi alla vita adulta di Cristo (di mano del </w:t>
      </w:r>
      <w:proofErr w:type="spellStart"/>
      <w:r w:rsidRPr="001E3956">
        <w:rPr>
          <w:bCs/>
          <w:szCs w:val="18"/>
        </w:rPr>
        <w:t>Baldovinetti</w:t>
      </w:r>
      <w:proofErr w:type="spellEnd"/>
      <w:r w:rsidRPr="001E3956">
        <w:rPr>
          <w:bCs/>
          <w:szCs w:val="18"/>
        </w:rPr>
        <w:t>),</w:t>
      </w:r>
      <w:r w:rsidR="006F6EDB" w:rsidRPr="006F6EDB">
        <w:rPr>
          <w:bCs/>
          <w:szCs w:val="18"/>
        </w:rPr>
        <w:t xml:space="preserve"> </w:t>
      </w:r>
      <w:r w:rsidRPr="001E3956">
        <w:rPr>
          <w:bCs/>
          <w:szCs w:val="18"/>
        </w:rPr>
        <w:t xml:space="preserve">venti storie della Passione (dalla </w:t>
      </w:r>
      <w:r w:rsidRPr="001E3956">
        <w:rPr>
          <w:bCs/>
          <w:i/>
          <w:iCs/>
          <w:szCs w:val="18"/>
        </w:rPr>
        <w:t xml:space="preserve">Resurrezione di Lazzaro </w:t>
      </w:r>
      <w:r w:rsidRPr="001E3956">
        <w:rPr>
          <w:bCs/>
          <w:szCs w:val="18"/>
        </w:rPr>
        <w:t xml:space="preserve">alla </w:t>
      </w:r>
      <w:r w:rsidRPr="001E3956">
        <w:rPr>
          <w:bCs/>
          <w:i/>
          <w:iCs/>
          <w:szCs w:val="18"/>
        </w:rPr>
        <w:t>Pentecoste</w:t>
      </w:r>
      <w:r w:rsidRPr="001E3956">
        <w:rPr>
          <w:bCs/>
          <w:szCs w:val="18"/>
        </w:rPr>
        <w:t>)</w:t>
      </w:r>
      <w:r w:rsidR="006F6EDB" w:rsidRPr="006F6EDB">
        <w:rPr>
          <w:bCs/>
          <w:szCs w:val="18"/>
        </w:rPr>
        <w:t xml:space="preserve"> </w:t>
      </w:r>
      <w:r w:rsidRPr="001E3956">
        <w:rPr>
          <w:bCs/>
          <w:szCs w:val="18"/>
        </w:rPr>
        <w:t xml:space="preserve">seguite dal </w:t>
      </w:r>
      <w:r w:rsidRPr="001E3956">
        <w:rPr>
          <w:bCs/>
          <w:i/>
          <w:iCs/>
          <w:szCs w:val="18"/>
        </w:rPr>
        <w:t xml:space="preserve">Giudizio finale </w:t>
      </w:r>
      <w:r w:rsidRPr="001E3956">
        <w:rPr>
          <w:bCs/>
          <w:szCs w:val="18"/>
        </w:rPr>
        <w:t>e da altri due pannelli. La sequenza verticale</w:t>
      </w:r>
      <w:r w:rsidR="006F6EDB" w:rsidRPr="006F6EDB">
        <w:rPr>
          <w:bCs/>
          <w:szCs w:val="18"/>
        </w:rPr>
        <w:t xml:space="preserve"> </w:t>
      </w:r>
      <w:r w:rsidRPr="001E3956">
        <w:rPr>
          <w:bCs/>
          <w:szCs w:val="18"/>
        </w:rPr>
        <w:t xml:space="preserve">delle tre storie </w:t>
      </w:r>
      <w:proofErr w:type="spellStart"/>
      <w:r w:rsidRPr="001E3956">
        <w:rPr>
          <w:bCs/>
          <w:szCs w:val="18"/>
        </w:rPr>
        <w:t>baldovinettiane</w:t>
      </w:r>
      <w:proofErr w:type="spellEnd"/>
      <w:r w:rsidRPr="001E3956">
        <w:rPr>
          <w:bCs/>
          <w:szCs w:val="18"/>
        </w:rPr>
        <w:t>, anomala rispetto a quella orizzontale</w:t>
      </w:r>
      <w:r w:rsidR="006F6EDB" w:rsidRPr="006F6EDB">
        <w:rPr>
          <w:bCs/>
          <w:szCs w:val="18"/>
        </w:rPr>
        <w:t xml:space="preserve"> </w:t>
      </w:r>
      <w:r w:rsidRPr="001E3956">
        <w:rPr>
          <w:bCs/>
          <w:szCs w:val="18"/>
        </w:rPr>
        <w:t xml:space="preserve">che caratterizza i riquadri </w:t>
      </w:r>
      <w:proofErr w:type="spellStart"/>
      <w:r w:rsidRPr="001E3956">
        <w:rPr>
          <w:bCs/>
          <w:szCs w:val="18"/>
        </w:rPr>
        <w:t>angelichiani</w:t>
      </w:r>
      <w:proofErr w:type="spellEnd"/>
      <w:r w:rsidRPr="001E3956">
        <w:rPr>
          <w:bCs/>
          <w:szCs w:val="18"/>
        </w:rPr>
        <w:t>, ha portato in passato a ipotizzare</w:t>
      </w:r>
      <w:r w:rsidR="006F6EDB" w:rsidRPr="006F6EDB">
        <w:rPr>
          <w:bCs/>
          <w:szCs w:val="18"/>
        </w:rPr>
        <w:t xml:space="preserve"> </w:t>
      </w:r>
      <w:r w:rsidRPr="001E3956">
        <w:rPr>
          <w:bCs/>
          <w:szCs w:val="18"/>
        </w:rPr>
        <w:t>che il ciclo della vita adulta di Cristo comprendesse altri sei episodi,</w:t>
      </w:r>
      <w:r w:rsidR="006F6EDB" w:rsidRPr="006F6EDB">
        <w:rPr>
          <w:bCs/>
          <w:szCs w:val="18"/>
        </w:rPr>
        <w:t xml:space="preserve"> </w:t>
      </w:r>
      <w:r w:rsidRPr="001E3956">
        <w:rPr>
          <w:bCs/>
          <w:szCs w:val="18"/>
        </w:rPr>
        <w:t>così da immaginare in basso i due quadranti maggiori con dodici storie</w:t>
      </w:r>
      <w:r w:rsidR="006F6EDB" w:rsidRPr="006F6EDB">
        <w:rPr>
          <w:bCs/>
          <w:szCs w:val="18"/>
        </w:rPr>
        <w:t xml:space="preserve"> </w:t>
      </w:r>
      <w:r w:rsidRPr="001E3956">
        <w:rPr>
          <w:bCs/>
          <w:szCs w:val="18"/>
        </w:rPr>
        <w:t>ciascuno, in alto simmetricamente due quadranti minori, ciascuno con</w:t>
      </w:r>
      <w:r w:rsidR="006F6EDB" w:rsidRPr="006F6EDB">
        <w:rPr>
          <w:bCs/>
          <w:szCs w:val="18"/>
        </w:rPr>
        <w:t xml:space="preserve"> </w:t>
      </w:r>
      <w:r w:rsidRPr="001E3956">
        <w:rPr>
          <w:bCs/>
          <w:szCs w:val="18"/>
        </w:rPr>
        <w:t xml:space="preserve">nove episodi. </w:t>
      </w:r>
      <w:proofErr w:type="gramStart"/>
      <w:r w:rsidRPr="001E3956">
        <w:rPr>
          <w:bCs/>
          <w:szCs w:val="18"/>
        </w:rPr>
        <w:t>Tuttavia</w:t>
      </w:r>
      <w:proofErr w:type="gramEnd"/>
      <w:r w:rsidRPr="001E3956">
        <w:rPr>
          <w:bCs/>
          <w:szCs w:val="18"/>
        </w:rPr>
        <w:t xml:space="preserve"> le fonti sei-settecentesche (Bernardi, </w:t>
      </w:r>
      <w:proofErr w:type="spellStart"/>
      <w:r w:rsidRPr="001E3956">
        <w:rPr>
          <w:bCs/>
          <w:szCs w:val="18"/>
        </w:rPr>
        <w:t>Oretti</w:t>
      </w:r>
      <w:proofErr w:type="spellEnd"/>
      <w:r w:rsidRPr="001E3956">
        <w:rPr>
          <w:bCs/>
          <w:szCs w:val="18"/>
        </w:rPr>
        <w:t>) che</w:t>
      </w:r>
      <w:r w:rsidR="006F6EDB" w:rsidRPr="006F6EDB">
        <w:rPr>
          <w:bCs/>
          <w:szCs w:val="18"/>
        </w:rPr>
        <w:t xml:space="preserve"> </w:t>
      </w:r>
      <w:r w:rsidRPr="001E3956">
        <w:rPr>
          <w:bCs/>
          <w:szCs w:val="18"/>
        </w:rPr>
        <w:t>ricordano l’</w:t>
      </w:r>
      <w:r w:rsidRPr="001E3956">
        <w:rPr>
          <w:bCs/>
          <w:i/>
          <w:iCs/>
          <w:szCs w:val="18"/>
        </w:rPr>
        <w:t>Armadio</w:t>
      </w:r>
      <w:r w:rsidRPr="001E3956">
        <w:rPr>
          <w:bCs/>
          <w:szCs w:val="18"/>
        </w:rPr>
        <w:t>, riferiscono concordemente di “trentasei quadretti”</w:t>
      </w:r>
      <w:r w:rsidR="006F6EDB" w:rsidRPr="006F6EDB">
        <w:rPr>
          <w:bCs/>
          <w:szCs w:val="18"/>
        </w:rPr>
        <w:t xml:space="preserve"> </w:t>
      </w:r>
      <w:r w:rsidR="006F6EDB">
        <w:rPr>
          <w:bCs/>
          <w:szCs w:val="18"/>
        </w:rPr>
        <w:t>-</w:t>
      </w:r>
      <w:r w:rsidRPr="001E3956">
        <w:rPr>
          <w:bCs/>
          <w:szCs w:val="18"/>
        </w:rPr>
        <w:t xml:space="preserve"> con lieve approssimazione dovuta alla scena doppia del </w:t>
      </w:r>
      <w:r w:rsidRPr="001E3956">
        <w:rPr>
          <w:bCs/>
          <w:i/>
          <w:iCs/>
          <w:szCs w:val="18"/>
        </w:rPr>
        <w:t xml:space="preserve">Giudizio </w:t>
      </w:r>
      <w:r w:rsidR="006F6EDB">
        <w:rPr>
          <w:bCs/>
          <w:szCs w:val="18"/>
        </w:rPr>
        <w:t>-,</w:t>
      </w:r>
      <w:r w:rsidR="006F6EDB" w:rsidRPr="006F6EDB">
        <w:rPr>
          <w:bCs/>
          <w:szCs w:val="18"/>
        </w:rPr>
        <w:t xml:space="preserve"> </w:t>
      </w:r>
      <w:r w:rsidRPr="001E3956">
        <w:rPr>
          <w:bCs/>
          <w:szCs w:val="18"/>
        </w:rPr>
        <w:t>non di quarantuno o quarantadue; e con il totale ridotto si accorda l’assetto</w:t>
      </w:r>
      <w:r w:rsidR="006F6EDB" w:rsidRPr="006F6EDB">
        <w:rPr>
          <w:bCs/>
          <w:szCs w:val="18"/>
        </w:rPr>
        <w:t xml:space="preserve"> </w:t>
      </w:r>
      <w:r w:rsidRPr="006F6EDB">
        <w:rPr>
          <w:bCs/>
          <w:szCs w:val="18"/>
        </w:rPr>
        <w:t>dimensionale poc’anzi dettagliato.</w:t>
      </w:r>
    </w:p>
    <w:p w14:paraId="2D668330" w14:textId="77777777" w:rsidR="00E404AF" w:rsidRDefault="006F6EDB" w:rsidP="006F6EDB">
      <w:pPr>
        <w:spacing w:after="0"/>
        <w:jc w:val="both"/>
        <w:rPr>
          <w:bCs/>
          <w:szCs w:val="18"/>
        </w:rPr>
      </w:pPr>
      <w:r w:rsidRPr="006F6EDB">
        <w:rPr>
          <w:bCs/>
          <w:szCs w:val="18"/>
        </w:rPr>
        <w:t xml:space="preserve">La serie narrativa è aperta e chiusa da due riquadri più complessi: il primo, la </w:t>
      </w:r>
      <w:r w:rsidRPr="006F6EDB">
        <w:rPr>
          <w:bCs/>
          <w:i/>
          <w:iCs/>
          <w:szCs w:val="18"/>
        </w:rPr>
        <w:t>Visione di Ezechiele</w:t>
      </w:r>
      <w:r w:rsidRPr="006F6EDB">
        <w:rPr>
          <w:bCs/>
          <w:szCs w:val="18"/>
        </w:rPr>
        <w:t xml:space="preserve"> mostra uno schema, tipico dei trattati di mnemotecnica ed echeggiante i pavimenti-zodiaco eliocentrici del Battistero e di San Miniato a Firenze e la </w:t>
      </w:r>
      <w:proofErr w:type="spellStart"/>
      <w:r w:rsidRPr="006F6EDB">
        <w:rPr>
          <w:bCs/>
          <w:i/>
          <w:iCs/>
          <w:szCs w:val="18"/>
        </w:rPr>
        <w:t>Cosmographia</w:t>
      </w:r>
      <w:proofErr w:type="spellEnd"/>
      <w:r w:rsidRPr="006F6EDB">
        <w:rPr>
          <w:bCs/>
          <w:i/>
          <w:iCs/>
          <w:szCs w:val="18"/>
        </w:rPr>
        <w:t xml:space="preserve"> </w:t>
      </w:r>
      <w:r w:rsidRPr="006F6EDB">
        <w:rPr>
          <w:bCs/>
          <w:szCs w:val="18"/>
        </w:rPr>
        <w:t xml:space="preserve">affrescata da Piero di Puccio nel Camposanto di Pisa (1391), a doppia ruota concentrica, con i quattro evangelisti e i quattro apostoli autori delle Epistole neotestamentarie in quello interno, dodici profeti </w:t>
      </w:r>
      <w:proofErr w:type="spellStart"/>
      <w:r w:rsidRPr="006F6EDB">
        <w:rPr>
          <w:bCs/>
          <w:szCs w:val="18"/>
        </w:rPr>
        <w:t>veterostamentari</w:t>
      </w:r>
      <w:proofErr w:type="spellEnd"/>
      <w:r w:rsidRPr="006F6EDB">
        <w:rPr>
          <w:bCs/>
          <w:szCs w:val="18"/>
        </w:rPr>
        <w:t xml:space="preserve"> (i quattro maggiori e otto dei minori) in quello esterno, a evidenziare il tema canonico della </w:t>
      </w:r>
      <w:r w:rsidRPr="006F6EDB">
        <w:rPr>
          <w:bCs/>
          <w:i/>
          <w:iCs/>
          <w:szCs w:val="18"/>
        </w:rPr>
        <w:t xml:space="preserve">concordia </w:t>
      </w:r>
      <w:proofErr w:type="spellStart"/>
      <w:r w:rsidRPr="006F6EDB">
        <w:rPr>
          <w:bCs/>
          <w:i/>
          <w:iCs/>
          <w:szCs w:val="18"/>
        </w:rPr>
        <w:t>Veteris</w:t>
      </w:r>
      <w:proofErr w:type="spellEnd"/>
      <w:r w:rsidRPr="006F6EDB">
        <w:rPr>
          <w:bCs/>
          <w:i/>
          <w:iCs/>
          <w:szCs w:val="18"/>
        </w:rPr>
        <w:t xml:space="preserve"> </w:t>
      </w:r>
      <w:proofErr w:type="spellStart"/>
      <w:r w:rsidRPr="006F6EDB">
        <w:rPr>
          <w:bCs/>
          <w:i/>
          <w:iCs/>
          <w:szCs w:val="18"/>
        </w:rPr>
        <w:t>ac</w:t>
      </w:r>
      <w:proofErr w:type="spellEnd"/>
      <w:r w:rsidRPr="006F6EDB">
        <w:rPr>
          <w:bCs/>
          <w:i/>
          <w:iCs/>
          <w:szCs w:val="18"/>
        </w:rPr>
        <w:t xml:space="preserve"> Novi Testamenti </w:t>
      </w:r>
      <w:r w:rsidRPr="006F6EDB">
        <w:rPr>
          <w:bCs/>
          <w:szCs w:val="18"/>
        </w:rPr>
        <w:t xml:space="preserve">che informa tutto il ciclo; nei due angoli inferiori le figure accovacciate di Ezechiele e di san Gregorio Magno, i cui passi rispettivi sono riportati negli angoli superiori – quello del profeta è infatti la narrazione della </w:t>
      </w:r>
      <w:r w:rsidRPr="006F6EDB">
        <w:rPr>
          <w:bCs/>
          <w:i/>
          <w:iCs/>
          <w:szCs w:val="18"/>
        </w:rPr>
        <w:t xml:space="preserve">rota in medio </w:t>
      </w:r>
      <w:proofErr w:type="spellStart"/>
      <w:r w:rsidRPr="006F6EDB">
        <w:rPr>
          <w:bCs/>
          <w:i/>
          <w:iCs/>
          <w:szCs w:val="18"/>
        </w:rPr>
        <w:t>rotae</w:t>
      </w:r>
      <w:proofErr w:type="spellEnd"/>
      <w:r w:rsidRPr="006F6EDB">
        <w:rPr>
          <w:bCs/>
          <w:szCs w:val="18"/>
        </w:rPr>
        <w:t xml:space="preserve">, quello di Gregorio ne è il commento: “il Nuovo Testamento è celato per mezzo dell’allegoria nella lettera del Vecchio Testamento”. Coerentemente, tutti gli episodi del ciclo sono incorniciati da due cartigli, uno in basso relativo al corrispondente passo evangelico, l’altro in alto indicante il precedente veterotestamentario: una relazione temporale che non è rivolta solo al passato, alla memoria della storia sacra (prima, durante e dopo l’evento capitale dell’Incarnazione), ma si proietta anche al futuro, verso il destino finale di Salvezza e </w:t>
      </w:r>
      <w:proofErr w:type="spellStart"/>
      <w:r w:rsidRPr="006F6EDB">
        <w:rPr>
          <w:bCs/>
          <w:i/>
          <w:iCs/>
          <w:szCs w:val="18"/>
        </w:rPr>
        <w:t>plenitudo</w:t>
      </w:r>
      <w:proofErr w:type="spellEnd"/>
      <w:r w:rsidRPr="006F6EDB">
        <w:rPr>
          <w:bCs/>
          <w:i/>
          <w:iCs/>
          <w:szCs w:val="18"/>
        </w:rPr>
        <w:t xml:space="preserve"> temporum</w:t>
      </w:r>
      <w:r w:rsidRPr="006F6EDB">
        <w:rPr>
          <w:bCs/>
          <w:szCs w:val="18"/>
        </w:rPr>
        <w:t xml:space="preserve">. </w:t>
      </w:r>
    </w:p>
    <w:p w14:paraId="6633CB85" w14:textId="5215E7B2" w:rsidR="006F6EDB" w:rsidRPr="006F6EDB" w:rsidRDefault="006F6EDB" w:rsidP="006F6EDB">
      <w:pPr>
        <w:spacing w:after="0"/>
        <w:jc w:val="both"/>
        <w:rPr>
          <w:bCs/>
          <w:szCs w:val="18"/>
        </w:rPr>
      </w:pPr>
      <w:r w:rsidRPr="006F6EDB">
        <w:rPr>
          <w:bCs/>
          <w:szCs w:val="18"/>
        </w:rPr>
        <w:t xml:space="preserve">Nell’ultimo pannello compare, identificata dall’iscrizione sullo scudo della figura femminile stante, la </w:t>
      </w:r>
      <w:proofErr w:type="spellStart"/>
      <w:r w:rsidRPr="006F6EDB">
        <w:rPr>
          <w:bCs/>
          <w:i/>
          <w:iCs/>
          <w:szCs w:val="18"/>
        </w:rPr>
        <w:t>Lex</w:t>
      </w:r>
      <w:proofErr w:type="spellEnd"/>
      <w:r w:rsidRPr="006F6EDB">
        <w:rPr>
          <w:bCs/>
          <w:i/>
          <w:iCs/>
          <w:szCs w:val="18"/>
        </w:rPr>
        <w:t xml:space="preserve"> </w:t>
      </w:r>
      <w:proofErr w:type="spellStart"/>
      <w:r w:rsidRPr="006F6EDB">
        <w:rPr>
          <w:bCs/>
          <w:i/>
          <w:iCs/>
          <w:szCs w:val="18"/>
        </w:rPr>
        <w:t>Amoris</w:t>
      </w:r>
      <w:proofErr w:type="spellEnd"/>
      <w:r w:rsidRPr="006F6EDB">
        <w:rPr>
          <w:bCs/>
          <w:szCs w:val="18"/>
        </w:rPr>
        <w:t xml:space="preserve">, ma gran parte del campo pittorico è occupata da una sfilza di cartigli affissi su di un candelabro a sette braccia e ai lati della croce d’oro svettante dal braccio centrale del candelabro (simbolo della superiorità del Nuovo Testamento sul Vecchio): alla serie dei sacramenti in basso corrisponde, nella metà superiore, la serie dei dodici articoli del Credo niceno pronunciati dagli apostoli, con i ‘tipi’ relativi affidati a profeti. Fonte testuale della </w:t>
      </w:r>
      <w:proofErr w:type="spellStart"/>
      <w:r w:rsidRPr="006F6EDB">
        <w:rPr>
          <w:bCs/>
          <w:i/>
          <w:iCs/>
          <w:szCs w:val="18"/>
        </w:rPr>
        <w:t>Lex</w:t>
      </w:r>
      <w:proofErr w:type="spellEnd"/>
      <w:r w:rsidRPr="006F6EDB">
        <w:rPr>
          <w:bCs/>
          <w:i/>
          <w:iCs/>
          <w:szCs w:val="18"/>
        </w:rPr>
        <w:t xml:space="preserve"> </w:t>
      </w:r>
      <w:proofErr w:type="spellStart"/>
      <w:r w:rsidRPr="006F6EDB">
        <w:rPr>
          <w:bCs/>
          <w:i/>
          <w:iCs/>
          <w:szCs w:val="18"/>
        </w:rPr>
        <w:t>Amoris</w:t>
      </w:r>
      <w:proofErr w:type="spellEnd"/>
      <w:r w:rsidRPr="006F6EDB">
        <w:rPr>
          <w:bCs/>
          <w:szCs w:val="18"/>
        </w:rPr>
        <w:t xml:space="preserve">, come si avvide lo storico domenicano Stefano Orlandi, è un capitolo della </w:t>
      </w:r>
      <w:r w:rsidRPr="006F6EDB">
        <w:rPr>
          <w:bCs/>
          <w:i/>
          <w:iCs/>
          <w:szCs w:val="18"/>
        </w:rPr>
        <w:t xml:space="preserve">Summa </w:t>
      </w:r>
      <w:proofErr w:type="spellStart"/>
      <w:r w:rsidRPr="006F6EDB">
        <w:rPr>
          <w:bCs/>
          <w:i/>
          <w:iCs/>
          <w:szCs w:val="18"/>
        </w:rPr>
        <w:t>Theologiae</w:t>
      </w:r>
      <w:proofErr w:type="spellEnd"/>
      <w:r w:rsidRPr="006F6EDB">
        <w:rPr>
          <w:bCs/>
          <w:i/>
          <w:iCs/>
          <w:szCs w:val="18"/>
        </w:rPr>
        <w:t xml:space="preserve"> </w:t>
      </w:r>
      <w:r w:rsidRPr="006F6EDB">
        <w:rPr>
          <w:bCs/>
          <w:szCs w:val="18"/>
        </w:rPr>
        <w:t xml:space="preserve">di san Tommaso (I. II. 107) che tratta appunto </w:t>
      </w:r>
      <w:r w:rsidRPr="006F6EDB">
        <w:rPr>
          <w:bCs/>
          <w:i/>
          <w:iCs/>
          <w:szCs w:val="18"/>
        </w:rPr>
        <w:t xml:space="preserve">de </w:t>
      </w:r>
      <w:proofErr w:type="spellStart"/>
      <w:r w:rsidRPr="006F6EDB">
        <w:rPr>
          <w:bCs/>
          <w:i/>
          <w:iCs/>
          <w:szCs w:val="18"/>
        </w:rPr>
        <w:t>comparatione</w:t>
      </w:r>
      <w:proofErr w:type="spellEnd"/>
      <w:r w:rsidRPr="006F6EDB">
        <w:rPr>
          <w:bCs/>
          <w:i/>
          <w:iCs/>
          <w:szCs w:val="18"/>
        </w:rPr>
        <w:t xml:space="preserve"> legis </w:t>
      </w:r>
      <w:proofErr w:type="spellStart"/>
      <w:r w:rsidRPr="006F6EDB">
        <w:rPr>
          <w:bCs/>
          <w:i/>
          <w:iCs/>
          <w:szCs w:val="18"/>
        </w:rPr>
        <w:t>novae</w:t>
      </w:r>
      <w:proofErr w:type="spellEnd"/>
      <w:r w:rsidRPr="006F6EDB">
        <w:rPr>
          <w:bCs/>
          <w:i/>
          <w:iCs/>
          <w:szCs w:val="18"/>
        </w:rPr>
        <w:t xml:space="preserve"> ad </w:t>
      </w:r>
      <w:proofErr w:type="spellStart"/>
      <w:r w:rsidRPr="006F6EDB">
        <w:rPr>
          <w:bCs/>
          <w:i/>
          <w:iCs/>
          <w:szCs w:val="18"/>
        </w:rPr>
        <w:t>legem</w:t>
      </w:r>
      <w:proofErr w:type="spellEnd"/>
      <w:r w:rsidRPr="006F6EDB">
        <w:rPr>
          <w:bCs/>
          <w:i/>
          <w:iCs/>
          <w:szCs w:val="18"/>
        </w:rPr>
        <w:t xml:space="preserve"> </w:t>
      </w:r>
      <w:proofErr w:type="spellStart"/>
      <w:r w:rsidRPr="006F6EDB">
        <w:rPr>
          <w:bCs/>
          <w:i/>
          <w:iCs/>
          <w:szCs w:val="18"/>
        </w:rPr>
        <w:t>veterem</w:t>
      </w:r>
      <w:proofErr w:type="spellEnd"/>
      <w:r w:rsidRPr="006F6EDB">
        <w:rPr>
          <w:bCs/>
          <w:szCs w:val="18"/>
        </w:rPr>
        <w:t>; vi sono citati anche i passi di Ezechiele e Gregorio vergati nel primo pannello.</w:t>
      </w:r>
    </w:p>
    <w:p w14:paraId="17A2B306" w14:textId="70F8E3E9" w:rsidR="007006C2" w:rsidRPr="006F6EDB" w:rsidRDefault="006F6EDB" w:rsidP="006F6EDB">
      <w:pPr>
        <w:spacing w:after="0"/>
        <w:jc w:val="both"/>
        <w:rPr>
          <w:bCs/>
          <w:szCs w:val="18"/>
        </w:rPr>
      </w:pPr>
      <w:r w:rsidRPr="006F6EDB">
        <w:rPr>
          <w:bCs/>
          <w:szCs w:val="18"/>
        </w:rPr>
        <w:t>L’Aquinate (ripreso nella Lettera n. 66 di Caterina da Siena) è dunque il teologo della ‘Legge dell’Amore’ del Nuovo Testamento contrapposta alla ‘Legge del Timore’ dell’Antico, l’</w:t>
      </w:r>
      <w:proofErr w:type="spellStart"/>
      <w:r w:rsidRPr="006F6EDB">
        <w:rPr>
          <w:bCs/>
          <w:i/>
          <w:iCs/>
          <w:szCs w:val="18"/>
        </w:rPr>
        <w:t>auctoritas</w:t>
      </w:r>
      <w:proofErr w:type="spellEnd"/>
      <w:r w:rsidRPr="006F6EDB">
        <w:rPr>
          <w:bCs/>
          <w:i/>
          <w:iCs/>
          <w:szCs w:val="18"/>
        </w:rPr>
        <w:t xml:space="preserve"> </w:t>
      </w:r>
      <w:r w:rsidRPr="006F6EDB">
        <w:rPr>
          <w:bCs/>
          <w:szCs w:val="18"/>
        </w:rPr>
        <w:t xml:space="preserve">che informa il ciclo </w:t>
      </w:r>
      <w:proofErr w:type="spellStart"/>
      <w:r w:rsidRPr="006F6EDB">
        <w:rPr>
          <w:bCs/>
          <w:szCs w:val="18"/>
        </w:rPr>
        <w:t>angelichiano</w:t>
      </w:r>
      <w:proofErr w:type="spellEnd"/>
      <w:r w:rsidRPr="006F6EDB">
        <w:rPr>
          <w:bCs/>
          <w:szCs w:val="18"/>
        </w:rPr>
        <w:t xml:space="preserve"> dell’</w:t>
      </w:r>
      <w:r w:rsidRPr="006F6EDB">
        <w:rPr>
          <w:bCs/>
          <w:i/>
          <w:iCs/>
          <w:szCs w:val="18"/>
        </w:rPr>
        <w:t xml:space="preserve">Armadio </w:t>
      </w:r>
      <w:r w:rsidRPr="006F6EDB">
        <w:rPr>
          <w:bCs/>
          <w:szCs w:val="18"/>
        </w:rPr>
        <w:t>(e altri consimili).</w:t>
      </w:r>
    </w:p>
    <w:p w14:paraId="4EC1B9FF" w14:textId="77777777" w:rsidR="006F6EDB" w:rsidRPr="006F6EDB" w:rsidRDefault="006F6EDB" w:rsidP="006F6EDB">
      <w:pPr>
        <w:spacing w:after="0"/>
        <w:jc w:val="both"/>
        <w:rPr>
          <w:bCs/>
        </w:rPr>
      </w:pPr>
    </w:p>
    <w:p w14:paraId="5F018DB5" w14:textId="664D5A5A" w:rsidR="005D4E74" w:rsidRPr="006F6EDB" w:rsidRDefault="005D4E74" w:rsidP="005D4E74">
      <w:pPr>
        <w:spacing w:after="0"/>
        <w:jc w:val="both"/>
        <w:rPr>
          <w:bCs/>
        </w:rPr>
      </w:pPr>
      <w:r w:rsidRPr="006F6EDB">
        <w:rPr>
          <w:bCs/>
        </w:rPr>
        <w:t>Milano, 27 ottobre 2023</w:t>
      </w:r>
    </w:p>
    <w:p w14:paraId="2E9C51BA" w14:textId="3DF81D32" w:rsidR="003D3261" w:rsidRPr="006F6EDB" w:rsidRDefault="003D3261" w:rsidP="005D4E74">
      <w:pPr>
        <w:spacing w:after="0"/>
        <w:jc w:val="both"/>
        <w:rPr>
          <w:bCs/>
        </w:rPr>
      </w:pPr>
    </w:p>
    <w:p w14:paraId="7284CBB8" w14:textId="281FC821" w:rsidR="003D3261" w:rsidRPr="003D3261" w:rsidRDefault="003D3261" w:rsidP="005D4E74">
      <w:pPr>
        <w:spacing w:after="0"/>
        <w:jc w:val="both"/>
        <w:rPr>
          <w:b/>
          <w:sz w:val="24"/>
          <w:szCs w:val="20"/>
        </w:rPr>
      </w:pPr>
      <w:r w:rsidRPr="003D3261">
        <w:rPr>
          <w:b/>
          <w:sz w:val="24"/>
          <w:szCs w:val="20"/>
        </w:rPr>
        <w:t xml:space="preserve">* Estratto dal testo in catalogo Dario </w:t>
      </w:r>
      <w:proofErr w:type="spellStart"/>
      <w:r w:rsidRPr="003D3261">
        <w:rPr>
          <w:b/>
          <w:sz w:val="24"/>
          <w:szCs w:val="20"/>
        </w:rPr>
        <w:t>Cimorelli</w:t>
      </w:r>
      <w:proofErr w:type="spellEnd"/>
      <w:r w:rsidRPr="003D3261">
        <w:rPr>
          <w:b/>
          <w:sz w:val="24"/>
          <w:szCs w:val="20"/>
        </w:rPr>
        <w:t xml:space="preserve"> editore</w:t>
      </w:r>
    </w:p>
    <w:sectPr w:rsidR="003D3261" w:rsidRPr="003D3261" w:rsidSect="005D4E74">
      <w:footerReference w:type="default" r:id="rId10"/>
      <w:headerReference w:type="first" r:id="rId11"/>
      <w:footerReference w:type="first" r:id="rId12"/>
      <w:pgSz w:w="11906" w:h="16838"/>
      <w:pgMar w:top="1134" w:right="1134" w:bottom="1134" w:left="1134" w:header="709"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FEB17" w14:textId="77777777" w:rsidR="008443A9" w:rsidRDefault="008443A9" w:rsidP="0033065B">
      <w:pPr>
        <w:spacing w:after="0" w:line="240" w:lineRule="auto"/>
      </w:pPr>
      <w:r>
        <w:separator/>
      </w:r>
    </w:p>
  </w:endnote>
  <w:endnote w:type="continuationSeparator" w:id="0">
    <w:p w14:paraId="00B54E8A" w14:textId="77777777" w:rsidR="008443A9" w:rsidRDefault="008443A9" w:rsidP="0033065B">
      <w:pPr>
        <w:spacing w:after="0" w:line="240" w:lineRule="auto"/>
      </w:pPr>
      <w:r>
        <w:continuationSeparator/>
      </w:r>
    </w:p>
  </w:endnote>
  <w:endnote w:type="continuationNotice" w:id="1">
    <w:p w14:paraId="028430EA" w14:textId="77777777" w:rsidR="008443A9" w:rsidRDefault="008443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5F9C1" w14:textId="77777777" w:rsidR="00550242" w:rsidRDefault="00550242" w:rsidP="0033065B">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2C973" w14:textId="3EE1DD51" w:rsidR="00323965" w:rsidRDefault="00023B1E">
    <w:pPr>
      <w:pStyle w:val="Pidipagina"/>
    </w:pPr>
    <w:r>
      <w:rPr>
        <w:noProof/>
      </w:rPr>
      <w:drawing>
        <wp:inline distT="0" distB="0" distL="0" distR="0" wp14:anchorId="79F444C3" wp14:editId="2EBBD089">
          <wp:extent cx="6120130" cy="1458595"/>
          <wp:effectExtent l="0" t="0" r="0" b="8255"/>
          <wp:docPr id="25" name="Immagine 25" descr="Immagine che contiene testo, schermata, Carattere,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testo, schermata, Carattere, linea&#10;&#10;Descrizione generata automaticamente"/>
                  <pic:cNvPicPr/>
                </pic:nvPicPr>
                <pic:blipFill>
                  <a:blip r:embed="rId1"/>
                  <a:stretch>
                    <a:fillRect/>
                  </a:stretch>
                </pic:blipFill>
                <pic:spPr>
                  <a:xfrm>
                    <a:off x="0" y="0"/>
                    <a:ext cx="6120130" cy="14585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113B0" w14:textId="77777777" w:rsidR="008443A9" w:rsidRDefault="008443A9" w:rsidP="0033065B">
      <w:pPr>
        <w:spacing w:after="0" w:line="240" w:lineRule="auto"/>
      </w:pPr>
      <w:r>
        <w:separator/>
      </w:r>
    </w:p>
  </w:footnote>
  <w:footnote w:type="continuationSeparator" w:id="0">
    <w:p w14:paraId="7836DA43" w14:textId="77777777" w:rsidR="008443A9" w:rsidRDefault="008443A9" w:rsidP="0033065B">
      <w:pPr>
        <w:spacing w:after="0" w:line="240" w:lineRule="auto"/>
      </w:pPr>
      <w:r>
        <w:continuationSeparator/>
      </w:r>
    </w:p>
  </w:footnote>
  <w:footnote w:type="continuationNotice" w:id="1">
    <w:p w14:paraId="659AD6B1" w14:textId="77777777" w:rsidR="008443A9" w:rsidRDefault="008443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7011A" w14:textId="20EDA337" w:rsidR="002873E1" w:rsidRDefault="00023B1E" w:rsidP="00023B1E">
    <w:pPr>
      <w:pStyle w:val="Intestazione"/>
      <w:ind w:left="-567"/>
    </w:pPr>
    <w:r>
      <w:rPr>
        <w:noProof/>
      </w:rPr>
      <w:drawing>
        <wp:inline distT="0" distB="0" distL="0" distR="0" wp14:anchorId="579B2ADA" wp14:editId="7F8C238E">
          <wp:extent cx="6699433" cy="1596659"/>
          <wp:effectExtent l="0" t="0" r="6350" b="3810"/>
          <wp:docPr id="24" name="Immagine 24" descr="Immagine che contiene testo, Danza, schermata, vestit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magine 37" descr="Immagine che contiene testo, Danza, schermata, vestiti&#10;&#10;Descrizione generata automaticamente"/>
                  <pic:cNvPicPr/>
                </pic:nvPicPr>
                <pic:blipFill>
                  <a:blip r:embed="rId1"/>
                  <a:stretch>
                    <a:fillRect/>
                  </a:stretch>
                </pic:blipFill>
                <pic:spPr>
                  <a:xfrm>
                    <a:off x="0" y="0"/>
                    <a:ext cx="6734567" cy="160503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DE2"/>
    <w:rsid w:val="00012FD8"/>
    <w:rsid w:val="00017169"/>
    <w:rsid w:val="00023B1E"/>
    <w:rsid w:val="00045920"/>
    <w:rsid w:val="00056358"/>
    <w:rsid w:val="000B080D"/>
    <w:rsid w:val="000C3FBB"/>
    <w:rsid w:val="00107AE6"/>
    <w:rsid w:val="00117E57"/>
    <w:rsid w:val="0013097B"/>
    <w:rsid w:val="00135236"/>
    <w:rsid w:val="00146A79"/>
    <w:rsid w:val="001708F2"/>
    <w:rsid w:val="001762BE"/>
    <w:rsid w:val="001B1E78"/>
    <w:rsid w:val="001C19AD"/>
    <w:rsid w:val="001E3956"/>
    <w:rsid w:val="00210C7E"/>
    <w:rsid w:val="002162C9"/>
    <w:rsid w:val="0022733E"/>
    <w:rsid w:val="00234D4B"/>
    <w:rsid w:val="00236AB1"/>
    <w:rsid w:val="00245961"/>
    <w:rsid w:val="002605E8"/>
    <w:rsid w:val="00266A63"/>
    <w:rsid w:val="002873E1"/>
    <w:rsid w:val="002A2158"/>
    <w:rsid w:val="002A69FF"/>
    <w:rsid w:val="002E3E17"/>
    <w:rsid w:val="002E7818"/>
    <w:rsid w:val="002F5B5B"/>
    <w:rsid w:val="003227CF"/>
    <w:rsid w:val="00323965"/>
    <w:rsid w:val="0033065B"/>
    <w:rsid w:val="00341324"/>
    <w:rsid w:val="00356B24"/>
    <w:rsid w:val="00357FD9"/>
    <w:rsid w:val="00374CD0"/>
    <w:rsid w:val="003B49E9"/>
    <w:rsid w:val="003D3261"/>
    <w:rsid w:val="004003B8"/>
    <w:rsid w:val="00410E4E"/>
    <w:rsid w:val="004121C0"/>
    <w:rsid w:val="004179EA"/>
    <w:rsid w:val="00422053"/>
    <w:rsid w:val="00424525"/>
    <w:rsid w:val="00441962"/>
    <w:rsid w:val="00443217"/>
    <w:rsid w:val="004454B4"/>
    <w:rsid w:val="00450244"/>
    <w:rsid w:val="00471B5C"/>
    <w:rsid w:val="00486A28"/>
    <w:rsid w:val="004C3D4E"/>
    <w:rsid w:val="004C3FD8"/>
    <w:rsid w:val="004C417F"/>
    <w:rsid w:val="004C4E6B"/>
    <w:rsid w:val="004C6206"/>
    <w:rsid w:val="004D0A1F"/>
    <w:rsid w:val="004F6D19"/>
    <w:rsid w:val="00521439"/>
    <w:rsid w:val="005250EF"/>
    <w:rsid w:val="00543BE2"/>
    <w:rsid w:val="00550242"/>
    <w:rsid w:val="0055118C"/>
    <w:rsid w:val="0056507F"/>
    <w:rsid w:val="005A1C26"/>
    <w:rsid w:val="005A6C4B"/>
    <w:rsid w:val="005D4E74"/>
    <w:rsid w:val="005E117A"/>
    <w:rsid w:val="005E2108"/>
    <w:rsid w:val="005E27CA"/>
    <w:rsid w:val="005F7228"/>
    <w:rsid w:val="00633A91"/>
    <w:rsid w:val="00672F97"/>
    <w:rsid w:val="00673559"/>
    <w:rsid w:val="006941F7"/>
    <w:rsid w:val="00696165"/>
    <w:rsid w:val="006B2397"/>
    <w:rsid w:val="006B6367"/>
    <w:rsid w:val="006D19D6"/>
    <w:rsid w:val="006E1689"/>
    <w:rsid w:val="006E571D"/>
    <w:rsid w:val="006E6026"/>
    <w:rsid w:val="006F2D7B"/>
    <w:rsid w:val="006F31D9"/>
    <w:rsid w:val="006F64CC"/>
    <w:rsid w:val="006F6EDB"/>
    <w:rsid w:val="006F7D8C"/>
    <w:rsid w:val="007006C2"/>
    <w:rsid w:val="00707BE2"/>
    <w:rsid w:val="007203D2"/>
    <w:rsid w:val="00722E82"/>
    <w:rsid w:val="00743BFD"/>
    <w:rsid w:val="00746821"/>
    <w:rsid w:val="00750C1A"/>
    <w:rsid w:val="0078688B"/>
    <w:rsid w:val="007A26EE"/>
    <w:rsid w:val="007A399E"/>
    <w:rsid w:val="007B2309"/>
    <w:rsid w:val="007F7143"/>
    <w:rsid w:val="007F7A9D"/>
    <w:rsid w:val="00802F53"/>
    <w:rsid w:val="00813FEC"/>
    <w:rsid w:val="0082097F"/>
    <w:rsid w:val="00840703"/>
    <w:rsid w:val="008443A9"/>
    <w:rsid w:val="00857A6E"/>
    <w:rsid w:val="00862600"/>
    <w:rsid w:val="00870C61"/>
    <w:rsid w:val="0087354D"/>
    <w:rsid w:val="00881420"/>
    <w:rsid w:val="008A420D"/>
    <w:rsid w:val="008A6CE1"/>
    <w:rsid w:val="008B10FA"/>
    <w:rsid w:val="008C0697"/>
    <w:rsid w:val="008F11EF"/>
    <w:rsid w:val="008F661A"/>
    <w:rsid w:val="00957ED1"/>
    <w:rsid w:val="00966661"/>
    <w:rsid w:val="009A7A76"/>
    <w:rsid w:val="009C3A6A"/>
    <w:rsid w:val="009D1091"/>
    <w:rsid w:val="009D142C"/>
    <w:rsid w:val="009E15C6"/>
    <w:rsid w:val="009F4517"/>
    <w:rsid w:val="009F4646"/>
    <w:rsid w:val="00A03075"/>
    <w:rsid w:val="00A118CD"/>
    <w:rsid w:val="00A24225"/>
    <w:rsid w:val="00A40DC0"/>
    <w:rsid w:val="00A54FE7"/>
    <w:rsid w:val="00A65ED9"/>
    <w:rsid w:val="00A7006B"/>
    <w:rsid w:val="00AA19FC"/>
    <w:rsid w:val="00AE5A0B"/>
    <w:rsid w:val="00AF1768"/>
    <w:rsid w:val="00AF19A2"/>
    <w:rsid w:val="00B02082"/>
    <w:rsid w:val="00B148D0"/>
    <w:rsid w:val="00B1662E"/>
    <w:rsid w:val="00B22760"/>
    <w:rsid w:val="00B26C53"/>
    <w:rsid w:val="00B32EBE"/>
    <w:rsid w:val="00B3639E"/>
    <w:rsid w:val="00B37DA5"/>
    <w:rsid w:val="00B37F82"/>
    <w:rsid w:val="00B40748"/>
    <w:rsid w:val="00B451E5"/>
    <w:rsid w:val="00B77CBD"/>
    <w:rsid w:val="00B844B2"/>
    <w:rsid w:val="00B94073"/>
    <w:rsid w:val="00B9452C"/>
    <w:rsid w:val="00B953AB"/>
    <w:rsid w:val="00BA2A79"/>
    <w:rsid w:val="00BA2F3A"/>
    <w:rsid w:val="00BB25A5"/>
    <w:rsid w:val="00BB379D"/>
    <w:rsid w:val="00BD5D6E"/>
    <w:rsid w:val="00BE4A41"/>
    <w:rsid w:val="00BE5F4D"/>
    <w:rsid w:val="00C0727D"/>
    <w:rsid w:val="00C12D3B"/>
    <w:rsid w:val="00C16852"/>
    <w:rsid w:val="00C40A97"/>
    <w:rsid w:val="00C70ACC"/>
    <w:rsid w:val="00CA5101"/>
    <w:rsid w:val="00CA51C0"/>
    <w:rsid w:val="00CB2464"/>
    <w:rsid w:val="00CD43AB"/>
    <w:rsid w:val="00D02453"/>
    <w:rsid w:val="00D1486A"/>
    <w:rsid w:val="00D205DE"/>
    <w:rsid w:val="00D33F2C"/>
    <w:rsid w:val="00D61DF8"/>
    <w:rsid w:val="00D85D7A"/>
    <w:rsid w:val="00DE09AD"/>
    <w:rsid w:val="00DE5EEC"/>
    <w:rsid w:val="00DF1DE2"/>
    <w:rsid w:val="00DF24D1"/>
    <w:rsid w:val="00E0509B"/>
    <w:rsid w:val="00E311FC"/>
    <w:rsid w:val="00E404AF"/>
    <w:rsid w:val="00E47F0B"/>
    <w:rsid w:val="00E730FE"/>
    <w:rsid w:val="00E90892"/>
    <w:rsid w:val="00EA1102"/>
    <w:rsid w:val="00EA17B2"/>
    <w:rsid w:val="00EB7940"/>
    <w:rsid w:val="00ED3505"/>
    <w:rsid w:val="00EF3C3F"/>
    <w:rsid w:val="00F02C26"/>
    <w:rsid w:val="00F131BD"/>
    <w:rsid w:val="00F32EB3"/>
    <w:rsid w:val="00F33450"/>
    <w:rsid w:val="00F42BF5"/>
    <w:rsid w:val="00F463B3"/>
    <w:rsid w:val="00F60206"/>
    <w:rsid w:val="00F80B37"/>
    <w:rsid w:val="00F83E84"/>
    <w:rsid w:val="00F911B1"/>
    <w:rsid w:val="00FA0586"/>
    <w:rsid w:val="00FC13A1"/>
    <w:rsid w:val="00FD6025"/>
    <w:rsid w:val="00FE3D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52463B"/>
  <w15:docId w15:val="{2CFCEDC7-E4A9-4112-8D9F-2FE25E55E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62C9"/>
    <w:pPr>
      <w:spacing w:after="160" w:line="259"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99"/>
    <w:qFormat/>
    <w:rsid w:val="007F7A9D"/>
    <w:rPr>
      <w:rFonts w:cs="Times New Roman"/>
      <w:b/>
      <w:bCs/>
    </w:rPr>
  </w:style>
  <w:style w:type="character" w:customStyle="1" w:styleId="A0">
    <w:name w:val="A0"/>
    <w:uiPriority w:val="99"/>
    <w:rsid w:val="009C3A6A"/>
    <w:rPr>
      <w:color w:val="000000"/>
    </w:rPr>
  </w:style>
  <w:style w:type="paragraph" w:styleId="Testofumetto">
    <w:name w:val="Balloon Text"/>
    <w:basedOn w:val="Normale"/>
    <w:link w:val="TestofumettoCarattere"/>
    <w:uiPriority w:val="99"/>
    <w:semiHidden/>
    <w:rsid w:val="00B0208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B02082"/>
    <w:rPr>
      <w:rFonts w:ascii="Tahoma" w:hAnsi="Tahoma" w:cs="Tahoma"/>
      <w:sz w:val="16"/>
      <w:szCs w:val="16"/>
    </w:rPr>
  </w:style>
  <w:style w:type="character" w:customStyle="1" w:styleId="CollegamentoInternet">
    <w:name w:val="Collegamento Internet"/>
    <w:basedOn w:val="Carpredefinitoparagrafo"/>
    <w:uiPriority w:val="99"/>
    <w:locked/>
    <w:rsid w:val="00EA17B2"/>
    <w:rPr>
      <w:rFonts w:ascii="Times New Roman" w:hAnsi="Times New Roman" w:cs="Times New Roman"/>
      <w:color w:val="0000FF"/>
      <w:u w:val="single"/>
    </w:rPr>
  </w:style>
  <w:style w:type="table" w:styleId="Grigliatabella">
    <w:name w:val="Table Grid"/>
    <w:basedOn w:val="Tabellanormale"/>
    <w:uiPriority w:val="99"/>
    <w:rsid w:val="00EA17B2"/>
    <w:rPr>
      <w:rFonts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33065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33065B"/>
    <w:rPr>
      <w:rFonts w:cs="Times New Roman"/>
    </w:rPr>
  </w:style>
  <w:style w:type="paragraph" w:styleId="Pidipagina">
    <w:name w:val="footer"/>
    <w:basedOn w:val="Normale"/>
    <w:link w:val="PidipaginaCarattere"/>
    <w:uiPriority w:val="99"/>
    <w:rsid w:val="0033065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33065B"/>
    <w:rPr>
      <w:rFonts w:cs="Times New Roman"/>
    </w:rPr>
  </w:style>
  <w:style w:type="character" w:styleId="Collegamentoipertestuale">
    <w:name w:val="Hyperlink"/>
    <w:basedOn w:val="Carpredefinitoparagrafo"/>
    <w:uiPriority w:val="99"/>
    <w:rsid w:val="00F33450"/>
    <w:rPr>
      <w:rFonts w:cs="Times New Roman"/>
      <w:color w:val="0000FF"/>
      <w:u w:val="single"/>
    </w:rPr>
  </w:style>
  <w:style w:type="character" w:customStyle="1" w:styleId="Menzionenonrisolta1">
    <w:name w:val="Menzione non risolta1"/>
    <w:basedOn w:val="Carpredefinitoparagrafo"/>
    <w:uiPriority w:val="99"/>
    <w:semiHidden/>
    <w:rsid w:val="00B32EBE"/>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20667">
      <w:marLeft w:val="0"/>
      <w:marRight w:val="0"/>
      <w:marTop w:val="0"/>
      <w:marBottom w:val="0"/>
      <w:divBdr>
        <w:top w:val="none" w:sz="0" w:space="0" w:color="auto"/>
        <w:left w:val="none" w:sz="0" w:space="0" w:color="auto"/>
        <w:bottom w:val="none" w:sz="0" w:space="0" w:color="auto"/>
        <w:right w:val="none" w:sz="0" w:space="0" w:color="auto"/>
      </w:divBdr>
    </w:div>
    <w:div w:id="151920668">
      <w:marLeft w:val="0"/>
      <w:marRight w:val="0"/>
      <w:marTop w:val="0"/>
      <w:marBottom w:val="0"/>
      <w:divBdr>
        <w:top w:val="none" w:sz="0" w:space="0" w:color="auto"/>
        <w:left w:val="none" w:sz="0" w:space="0" w:color="auto"/>
        <w:bottom w:val="none" w:sz="0" w:space="0" w:color="auto"/>
        <w:right w:val="none" w:sz="0" w:space="0" w:color="auto"/>
      </w:divBdr>
    </w:div>
    <w:div w:id="151920669">
      <w:marLeft w:val="0"/>
      <w:marRight w:val="0"/>
      <w:marTop w:val="0"/>
      <w:marBottom w:val="0"/>
      <w:divBdr>
        <w:top w:val="none" w:sz="0" w:space="0" w:color="auto"/>
        <w:left w:val="none" w:sz="0" w:space="0" w:color="auto"/>
        <w:bottom w:val="none" w:sz="0" w:space="0" w:color="auto"/>
        <w:right w:val="none" w:sz="0" w:space="0" w:color="auto"/>
      </w:divBdr>
    </w:div>
    <w:div w:id="151920670">
      <w:marLeft w:val="0"/>
      <w:marRight w:val="0"/>
      <w:marTop w:val="0"/>
      <w:marBottom w:val="0"/>
      <w:divBdr>
        <w:top w:val="none" w:sz="0" w:space="0" w:color="auto"/>
        <w:left w:val="none" w:sz="0" w:space="0" w:color="auto"/>
        <w:bottom w:val="none" w:sz="0" w:space="0" w:color="auto"/>
        <w:right w:val="none" w:sz="0" w:space="0" w:color="auto"/>
      </w:divBdr>
    </w:div>
    <w:div w:id="151920671">
      <w:marLeft w:val="0"/>
      <w:marRight w:val="0"/>
      <w:marTop w:val="0"/>
      <w:marBottom w:val="0"/>
      <w:divBdr>
        <w:top w:val="none" w:sz="0" w:space="0" w:color="auto"/>
        <w:left w:val="none" w:sz="0" w:space="0" w:color="auto"/>
        <w:bottom w:val="none" w:sz="0" w:space="0" w:color="auto"/>
        <w:right w:val="none" w:sz="0" w:space="0" w:color="auto"/>
      </w:divBdr>
    </w:div>
    <w:div w:id="151920672">
      <w:marLeft w:val="0"/>
      <w:marRight w:val="0"/>
      <w:marTop w:val="0"/>
      <w:marBottom w:val="0"/>
      <w:divBdr>
        <w:top w:val="none" w:sz="0" w:space="0" w:color="auto"/>
        <w:left w:val="none" w:sz="0" w:space="0" w:color="auto"/>
        <w:bottom w:val="none" w:sz="0" w:space="0" w:color="auto"/>
        <w:right w:val="none" w:sz="0" w:space="0" w:color="auto"/>
      </w:divBdr>
    </w:div>
    <w:div w:id="151920673">
      <w:marLeft w:val="0"/>
      <w:marRight w:val="0"/>
      <w:marTop w:val="0"/>
      <w:marBottom w:val="0"/>
      <w:divBdr>
        <w:top w:val="none" w:sz="0" w:space="0" w:color="auto"/>
        <w:left w:val="none" w:sz="0" w:space="0" w:color="auto"/>
        <w:bottom w:val="none" w:sz="0" w:space="0" w:color="auto"/>
        <w:right w:val="none" w:sz="0" w:space="0" w:color="auto"/>
      </w:divBdr>
    </w:div>
    <w:div w:id="151920675">
      <w:marLeft w:val="0"/>
      <w:marRight w:val="0"/>
      <w:marTop w:val="0"/>
      <w:marBottom w:val="0"/>
      <w:divBdr>
        <w:top w:val="none" w:sz="0" w:space="0" w:color="auto"/>
        <w:left w:val="none" w:sz="0" w:space="0" w:color="auto"/>
        <w:bottom w:val="none" w:sz="0" w:space="0" w:color="auto"/>
        <w:right w:val="none" w:sz="0" w:space="0" w:color="auto"/>
      </w:divBdr>
      <w:divsChild>
        <w:div w:id="151920679">
          <w:marLeft w:val="0"/>
          <w:marRight w:val="0"/>
          <w:marTop w:val="0"/>
          <w:marBottom w:val="0"/>
          <w:divBdr>
            <w:top w:val="none" w:sz="0" w:space="0" w:color="auto"/>
            <w:left w:val="none" w:sz="0" w:space="0" w:color="auto"/>
            <w:bottom w:val="none" w:sz="0" w:space="0" w:color="auto"/>
            <w:right w:val="none" w:sz="0" w:space="0" w:color="auto"/>
          </w:divBdr>
        </w:div>
        <w:div w:id="151920680">
          <w:marLeft w:val="0"/>
          <w:marRight w:val="0"/>
          <w:marTop w:val="0"/>
          <w:marBottom w:val="0"/>
          <w:divBdr>
            <w:top w:val="none" w:sz="0" w:space="0" w:color="auto"/>
            <w:left w:val="none" w:sz="0" w:space="0" w:color="auto"/>
            <w:bottom w:val="none" w:sz="0" w:space="0" w:color="auto"/>
            <w:right w:val="none" w:sz="0" w:space="0" w:color="auto"/>
          </w:divBdr>
          <w:divsChild>
            <w:div w:id="151920674">
              <w:marLeft w:val="0"/>
              <w:marRight w:val="0"/>
              <w:marTop w:val="0"/>
              <w:marBottom w:val="0"/>
              <w:divBdr>
                <w:top w:val="none" w:sz="0" w:space="0" w:color="auto"/>
                <w:left w:val="none" w:sz="0" w:space="0" w:color="auto"/>
                <w:bottom w:val="none" w:sz="0" w:space="0" w:color="auto"/>
                <w:right w:val="none" w:sz="0" w:space="0" w:color="auto"/>
              </w:divBdr>
              <w:divsChild>
                <w:div w:id="151920676">
                  <w:marLeft w:val="0"/>
                  <w:marRight w:val="0"/>
                  <w:marTop w:val="0"/>
                  <w:marBottom w:val="0"/>
                  <w:divBdr>
                    <w:top w:val="none" w:sz="0" w:space="0" w:color="auto"/>
                    <w:left w:val="none" w:sz="0" w:space="0" w:color="auto"/>
                    <w:bottom w:val="none" w:sz="0" w:space="0" w:color="auto"/>
                    <w:right w:val="none" w:sz="0" w:space="0" w:color="auto"/>
                  </w:divBdr>
                </w:div>
                <w:div w:id="15192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20677">
      <w:marLeft w:val="0"/>
      <w:marRight w:val="0"/>
      <w:marTop w:val="0"/>
      <w:marBottom w:val="0"/>
      <w:divBdr>
        <w:top w:val="none" w:sz="0" w:space="0" w:color="auto"/>
        <w:left w:val="none" w:sz="0" w:space="0" w:color="auto"/>
        <w:bottom w:val="none" w:sz="0" w:space="0" w:color="auto"/>
        <w:right w:val="none" w:sz="0" w:space="0" w:color="auto"/>
      </w:divBdr>
    </w:div>
    <w:div w:id="151920681">
      <w:marLeft w:val="0"/>
      <w:marRight w:val="0"/>
      <w:marTop w:val="0"/>
      <w:marBottom w:val="0"/>
      <w:divBdr>
        <w:top w:val="none" w:sz="0" w:space="0" w:color="auto"/>
        <w:left w:val="none" w:sz="0" w:space="0" w:color="auto"/>
        <w:bottom w:val="none" w:sz="0" w:space="0" w:color="auto"/>
        <w:right w:val="none" w:sz="0" w:space="0" w:color="auto"/>
      </w:divBdr>
    </w:div>
    <w:div w:id="151920682">
      <w:marLeft w:val="0"/>
      <w:marRight w:val="0"/>
      <w:marTop w:val="0"/>
      <w:marBottom w:val="0"/>
      <w:divBdr>
        <w:top w:val="none" w:sz="0" w:space="0" w:color="auto"/>
        <w:left w:val="none" w:sz="0" w:space="0" w:color="auto"/>
        <w:bottom w:val="none" w:sz="0" w:space="0" w:color="auto"/>
        <w:right w:val="none" w:sz="0" w:space="0" w:color="auto"/>
      </w:divBdr>
    </w:div>
    <w:div w:id="151920683">
      <w:marLeft w:val="0"/>
      <w:marRight w:val="0"/>
      <w:marTop w:val="0"/>
      <w:marBottom w:val="0"/>
      <w:divBdr>
        <w:top w:val="none" w:sz="0" w:space="0" w:color="auto"/>
        <w:left w:val="none" w:sz="0" w:space="0" w:color="auto"/>
        <w:bottom w:val="none" w:sz="0" w:space="0" w:color="auto"/>
        <w:right w:val="none" w:sz="0" w:space="0" w:color="auto"/>
      </w:divBdr>
    </w:div>
    <w:div w:id="1519206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BF83C8-6975-4633-A113-D59898D85A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836585-98F7-476B-BABE-6F3A5A2F057E}">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4DD734F1-7FD8-4CE4-B3C8-F96DDB139F9A}">
  <ds:schemaRefs>
    <ds:schemaRef ds:uri="http://schemas.openxmlformats.org/officeDocument/2006/bibliography"/>
  </ds:schemaRefs>
</ds:datastoreItem>
</file>

<file path=customXml/itemProps4.xml><?xml version="1.0" encoding="utf-8"?>
<ds:datastoreItem xmlns:ds="http://schemas.openxmlformats.org/officeDocument/2006/customXml" ds:itemID="{65B2390F-224C-420B-88B8-8E3C27CBDE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1082</Words>
  <Characters>6087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MILANO - MUSEO DIOCESANO CARLO MARIA MARTINI</vt:lpstr>
    </vt:vector>
  </TitlesOfParts>
  <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MILANO - MUSEO DIOCESANO CARLO MARIA MARTINI</dc:title>
  <dc:subject/>
  <dc:creator>Carlo</dc:creator>
  <cp:keywords/>
  <dc:description/>
  <cp:lastModifiedBy>Carlo Ghielmetti</cp:lastModifiedBy>
  <cp:revision>4</cp:revision>
  <cp:lastPrinted>2023-10-23T10:14:00Z</cp:lastPrinted>
  <dcterms:created xsi:type="dcterms:W3CDTF">2023-10-23T09:44:00Z</dcterms:created>
  <dcterms:modified xsi:type="dcterms:W3CDTF">2023-10-23T10:33:00Z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f5fe31f-9de1-4167-a753-111c0df8115f_Enabled">
    <vt:lpwstr>true</vt:lpwstr>
  </property>
  <property fmtid="{D5CDD505-2E9C-101B-9397-08002B2CF9AE}" pid="3" name="MSIP_Label_5f5fe31f-9de1-4167-a753-111c0df8115f_SetDate">
    <vt:lpwstr>2021-10-28T09:47:25Z</vt:lpwstr>
  </property>
  <property fmtid="{D5CDD505-2E9C-101B-9397-08002B2CF9AE}" pid="4" name="MSIP_Label_5f5fe31f-9de1-4167-a753-111c0df8115f_Method">
    <vt:lpwstr>Standard</vt:lpwstr>
  </property>
  <property fmtid="{D5CDD505-2E9C-101B-9397-08002B2CF9AE}" pid="5" name="MSIP_Label_5f5fe31f-9de1-4167-a753-111c0df8115f_Name">
    <vt:lpwstr>5f5fe31f-9de1-4167-a753-111c0df8115f</vt:lpwstr>
  </property>
  <property fmtid="{D5CDD505-2E9C-101B-9397-08002B2CF9AE}" pid="6" name="MSIP_Label_5f5fe31f-9de1-4167-a753-111c0df8115f_SiteId">
    <vt:lpwstr>cc4baf00-15c9-48dd-9f59-88c98bde2be7</vt:lpwstr>
  </property>
  <property fmtid="{D5CDD505-2E9C-101B-9397-08002B2CF9AE}" pid="7" name="MSIP_Label_5f5fe31f-9de1-4167-a753-111c0df8115f_ActionId">
    <vt:lpwstr>49b47b35-9d81-4d03-a1e7-e7c26cf72158</vt:lpwstr>
  </property>
  <property fmtid="{D5CDD505-2E9C-101B-9397-08002B2CF9AE}" pid="8" name="MSIP_Label_5f5fe31f-9de1-4167-a753-111c0df8115f_ContentBits">
    <vt:lpwstr>0</vt:lpwstr>
  </property>
  <property fmtid="{D5CDD505-2E9C-101B-9397-08002B2CF9AE}" pid="9" name="ContentTypeId">
    <vt:lpwstr>0x010100CEE2951FC9A8954D98E2686339B094D3</vt:lpwstr>
  </property>
  <property fmtid="{D5CDD505-2E9C-101B-9397-08002B2CF9AE}" pid="10" name="MediaServiceImageTags">
    <vt:lpwstr/>
  </property>
  <property fmtid="{D5CDD505-2E9C-101B-9397-08002B2CF9AE}" pid="11" name="TaxCatchAll">
    <vt:lpwstr/>
  </property>
  <property fmtid="{D5CDD505-2E9C-101B-9397-08002B2CF9AE}" pid="12" name="lcf76f155ced4ddcb4097134ff3c332f">
    <vt:lpwstr/>
  </property>
</Properties>
</file>