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AE76" w14:textId="37E34051" w:rsidR="00550242" w:rsidRDefault="00550242" w:rsidP="00EA1102">
      <w:pPr>
        <w:spacing w:after="0"/>
        <w:jc w:val="center"/>
        <w:rPr>
          <w:b/>
          <w:sz w:val="28"/>
        </w:rPr>
      </w:pPr>
    </w:p>
    <w:p w14:paraId="24273F97" w14:textId="2EB909A3" w:rsidR="005D4E74" w:rsidRDefault="00135236" w:rsidP="005D4E74">
      <w:pPr>
        <w:spacing w:after="0"/>
        <w:jc w:val="both"/>
        <w:rPr>
          <w:b/>
          <w:sz w:val="28"/>
        </w:rPr>
      </w:pPr>
      <w:r w:rsidRPr="00135236">
        <w:rPr>
          <w:b/>
          <w:sz w:val="28"/>
        </w:rPr>
        <w:t>ANGELO TARTUFERI</w:t>
      </w:r>
    </w:p>
    <w:p w14:paraId="6A84BFAB" w14:textId="2349136B" w:rsidR="005D4E74" w:rsidRPr="00933296" w:rsidRDefault="007006C2" w:rsidP="005D4E74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Dirett</w:t>
      </w:r>
      <w:r w:rsidR="00135236">
        <w:rPr>
          <w:b/>
          <w:bCs/>
          <w:sz w:val="28"/>
          <w:szCs w:val="28"/>
        </w:rPr>
        <w:t xml:space="preserve">ore del </w:t>
      </w:r>
      <w:r w:rsidR="00135236" w:rsidRPr="00135236">
        <w:rPr>
          <w:b/>
          <w:bCs/>
          <w:sz w:val="28"/>
          <w:szCs w:val="28"/>
        </w:rPr>
        <w:t xml:space="preserve">Museo di San Marco di Firenze </w:t>
      </w:r>
      <w:r>
        <w:rPr>
          <w:b/>
          <w:bCs/>
          <w:sz w:val="28"/>
          <w:szCs w:val="28"/>
        </w:rPr>
        <w:t>e curat</w:t>
      </w:r>
      <w:r w:rsidR="00135236">
        <w:rPr>
          <w:b/>
          <w:bCs/>
          <w:sz w:val="28"/>
          <w:szCs w:val="28"/>
        </w:rPr>
        <w:t>o</w:t>
      </w:r>
      <w:r>
        <w:rPr>
          <w:b/>
          <w:bCs/>
          <w:sz w:val="28"/>
          <w:szCs w:val="28"/>
        </w:rPr>
        <w:t>r</w:t>
      </w:r>
      <w:r w:rsidR="00135236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della mostra</w:t>
      </w:r>
    </w:p>
    <w:p w14:paraId="39C4AA25" w14:textId="52BBBF09" w:rsidR="005D4E74" w:rsidRDefault="005D4E74" w:rsidP="005D4E74">
      <w:pPr>
        <w:spacing w:after="0"/>
        <w:jc w:val="both"/>
        <w:rPr>
          <w:bCs/>
          <w:sz w:val="24"/>
          <w:szCs w:val="20"/>
        </w:rPr>
      </w:pPr>
    </w:p>
    <w:p w14:paraId="079C95D0" w14:textId="77777777" w:rsidR="007006C2" w:rsidRPr="005D4E74" w:rsidRDefault="007006C2" w:rsidP="005D4E74">
      <w:pPr>
        <w:spacing w:after="0"/>
        <w:jc w:val="both"/>
        <w:rPr>
          <w:bCs/>
          <w:sz w:val="24"/>
          <w:szCs w:val="20"/>
        </w:rPr>
      </w:pPr>
    </w:p>
    <w:p w14:paraId="10257605" w14:textId="57348114" w:rsidR="005D4E74" w:rsidRPr="007006C2" w:rsidRDefault="00135236" w:rsidP="00135236">
      <w:pPr>
        <w:spacing w:after="120"/>
        <w:jc w:val="both"/>
        <w:rPr>
          <w:b/>
          <w:i/>
          <w:iCs/>
          <w:sz w:val="28"/>
        </w:rPr>
      </w:pPr>
      <w:r w:rsidRPr="00135236">
        <w:rPr>
          <w:b/>
          <w:i/>
          <w:iCs/>
          <w:sz w:val="28"/>
        </w:rPr>
        <w:t>L’Angelico a Milano</w:t>
      </w:r>
      <w:r w:rsidR="00C21257">
        <w:rPr>
          <w:b/>
          <w:i/>
          <w:iCs/>
          <w:sz w:val="28"/>
        </w:rPr>
        <w:t xml:space="preserve"> </w:t>
      </w:r>
      <w:r w:rsidRPr="00135236">
        <w:rPr>
          <w:b/>
          <w:i/>
          <w:iCs/>
          <w:sz w:val="28"/>
        </w:rPr>
        <w:t xml:space="preserve">(con un appunto sugli esordi) </w:t>
      </w:r>
      <w:r w:rsidR="007006C2" w:rsidRPr="007006C2">
        <w:rPr>
          <w:b/>
          <w:i/>
          <w:iCs/>
          <w:sz w:val="28"/>
        </w:rPr>
        <w:t>*</w:t>
      </w:r>
    </w:p>
    <w:p w14:paraId="4FD13302" w14:textId="5C0F1BB4" w:rsidR="00135236" w:rsidRDefault="00135236" w:rsidP="00135236">
      <w:pPr>
        <w:spacing w:after="120"/>
        <w:jc w:val="both"/>
        <w:rPr>
          <w:bCs/>
          <w:sz w:val="24"/>
          <w:szCs w:val="20"/>
        </w:rPr>
      </w:pPr>
      <w:r w:rsidRPr="00135236">
        <w:rPr>
          <w:bCs/>
          <w:sz w:val="24"/>
          <w:szCs w:val="20"/>
        </w:rPr>
        <w:t xml:space="preserve">Ho accolto con piacere – in accordo con Stefano </w:t>
      </w:r>
      <w:proofErr w:type="spellStart"/>
      <w:r w:rsidRPr="00135236">
        <w:rPr>
          <w:bCs/>
          <w:sz w:val="24"/>
          <w:szCs w:val="20"/>
        </w:rPr>
        <w:t>Casciu</w:t>
      </w:r>
      <w:proofErr w:type="spellEnd"/>
      <w:r w:rsidRPr="00135236">
        <w:rPr>
          <w:bCs/>
          <w:sz w:val="24"/>
          <w:szCs w:val="20"/>
        </w:rPr>
        <w:t>, Direttore regionale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musei della Toscana – la richiesta per il prestito al Museo Diocesano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di Milano di uno dei pannelli dell’Angelico per l’</w:t>
      </w:r>
      <w:r w:rsidRPr="00135236">
        <w:rPr>
          <w:bCs/>
          <w:i/>
          <w:iCs/>
          <w:sz w:val="24"/>
          <w:szCs w:val="20"/>
        </w:rPr>
        <w:t>Armadio degli Argenti</w:t>
      </w:r>
      <w:r>
        <w:rPr>
          <w:bCs/>
          <w:i/>
          <w:i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della Santissima Annunziata a Firenze. Il mio rapporto con le opere di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questo importante museo milanese è cominciato in realtà molti anni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or sono – addirittura ancora prima della sua istituzione! – e spero che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sarà perdonato in questa occasione il richiamo ad alcuni ricordi personali.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Questi ultimi risalgono per la precisione al 1986, quando, giovane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studioso collaboratore di </w:t>
      </w:r>
      <w:proofErr w:type="spellStart"/>
      <w:r w:rsidRPr="00135236">
        <w:rPr>
          <w:bCs/>
          <w:sz w:val="24"/>
          <w:szCs w:val="20"/>
        </w:rPr>
        <w:t>Miklós</w:t>
      </w:r>
      <w:proofErr w:type="spellEnd"/>
      <w:r w:rsidRPr="00135236">
        <w:rPr>
          <w:bCs/>
          <w:sz w:val="24"/>
          <w:szCs w:val="20"/>
        </w:rPr>
        <w:t xml:space="preserve"> </w:t>
      </w:r>
      <w:proofErr w:type="spellStart"/>
      <w:r w:rsidRPr="00135236">
        <w:rPr>
          <w:bCs/>
          <w:sz w:val="24"/>
          <w:szCs w:val="20"/>
        </w:rPr>
        <w:t>Boskovits</w:t>
      </w:r>
      <w:proofErr w:type="spellEnd"/>
      <w:r w:rsidRPr="00135236">
        <w:rPr>
          <w:bCs/>
          <w:sz w:val="24"/>
          <w:szCs w:val="20"/>
        </w:rPr>
        <w:t>, cominciai con Luisa Tognoli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Bardin a studiare i dipinti di una collezione privata milanese della quale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uscì l’anno seguente il catalogo, il cui proprietario volle però restare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anonimo, per pura discrezione, come ebbe a sottolineare Marco Bona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Castellotti nella recensione. Lo stesso catalogo confluì poi in quello ben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più ricco e aggiornato, di opere e di schedatori, pubblicato in occasione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della donazione della raccolta da parte del medesimo collezionista – rivelatosi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l’insigne giurista Alberto Crespi, scomparso l’anno scorso all’età di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novantanove anni – al costituendo Museo Diocesano di Milano, inaugurato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dal cardinal Carlo Maria Martini il 5 novembre 2001. Il rapporto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con il museo si è rinnovato anche nel 2011, in occasione della pubblicazione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del bel catalogo generale nella prestigiosa serie </w:t>
      </w:r>
      <w:r w:rsidRPr="00135236">
        <w:rPr>
          <w:bCs/>
          <w:i/>
          <w:iCs/>
          <w:sz w:val="24"/>
          <w:szCs w:val="20"/>
        </w:rPr>
        <w:t>Musei e Gallerie</w:t>
      </w:r>
      <w:r>
        <w:rPr>
          <w:bCs/>
          <w:i/>
          <w:iCs/>
          <w:sz w:val="24"/>
          <w:szCs w:val="20"/>
        </w:rPr>
        <w:t xml:space="preserve"> </w:t>
      </w:r>
      <w:r w:rsidRPr="00135236">
        <w:rPr>
          <w:bCs/>
          <w:i/>
          <w:iCs/>
          <w:sz w:val="24"/>
          <w:szCs w:val="20"/>
        </w:rPr>
        <w:t>di Milano</w:t>
      </w:r>
      <w:r w:rsidRPr="00135236">
        <w:rPr>
          <w:bCs/>
          <w:sz w:val="24"/>
          <w:szCs w:val="20"/>
        </w:rPr>
        <w:t>, con l’aggiornamento delle schede della Collezione Crespi da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me redatte. L’occasione presente è per me un ulteriore episodio del rapporto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fruttuoso con Milano, avviatosi soprattutto con la partecipazione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alla redazione delle schede del catalogo della mostra memorabile </w:t>
      </w:r>
      <w:r w:rsidRPr="00135236">
        <w:rPr>
          <w:bCs/>
          <w:i/>
          <w:iCs/>
          <w:sz w:val="24"/>
          <w:szCs w:val="20"/>
        </w:rPr>
        <w:t>Arte in</w:t>
      </w:r>
      <w:r>
        <w:rPr>
          <w:bCs/>
          <w:i/>
          <w:iCs/>
          <w:sz w:val="24"/>
          <w:szCs w:val="20"/>
        </w:rPr>
        <w:t xml:space="preserve"> </w:t>
      </w:r>
      <w:r w:rsidRPr="00135236">
        <w:rPr>
          <w:bCs/>
          <w:i/>
          <w:iCs/>
          <w:sz w:val="24"/>
          <w:szCs w:val="20"/>
        </w:rPr>
        <w:t>Lombardia tra Gotico e Rinascimento</w:t>
      </w:r>
      <w:r w:rsidRPr="00135236">
        <w:rPr>
          <w:bCs/>
          <w:sz w:val="24"/>
          <w:szCs w:val="20"/>
        </w:rPr>
        <w:t>, svoltasi a Palazzo Reale nel 1988,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nel corso della quale conobbi alcuni degli allievi di </w:t>
      </w:r>
      <w:proofErr w:type="spellStart"/>
      <w:r w:rsidRPr="00135236">
        <w:rPr>
          <w:bCs/>
          <w:sz w:val="24"/>
          <w:szCs w:val="20"/>
        </w:rPr>
        <w:t>Boskovits</w:t>
      </w:r>
      <w:proofErr w:type="spellEnd"/>
      <w:r w:rsidRPr="00135236">
        <w:rPr>
          <w:bCs/>
          <w:sz w:val="24"/>
          <w:szCs w:val="20"/>
        </w:rPr>
        <w:t xml:space="preserve"> all’Università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Cattolica, con i quali conservo tuttora rapporti di amicizia e di lavoro.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Il prestito della tavola del Beato Angelico all’ormai prestigiosa serie di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mostre portata avanti da Nadia Righi dal titolo “Un capolavoro per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Milano”, giunta quest’anno alla quindicesima edizione, si è rivelato davvero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importante per il rilevante approfondimento che ne è scaturito sul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piano scientifico e critico, quest’ultimo affidato a Gerardo de Simone,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uno degli studiosi del grandissimo artista domenicano più accreditati 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livello internazionale. Le indagini diagnostiche non invasive condotte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dai tecnici guidati da Isabella Castiglioni hanno consentito, tra l’altro,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di rivelare la stupefacente finezza del </w:t>
      </w:r>
      <w:proofErr w:type="spellStart"/>
      <w:r w:rsidRPr="00135236">
        <w:rPr>
          <w:bCs/>
          <w:sz w:val="24"/>
          <w:szCs w:val="20"/>
        </w:rPr>
        <w:t>sottodisegno</w:t>
      </w:r>
      <w:proofErr w:type="spellEnd"/>
      <w:r w:rsidRPr="00135236">
        <w:rPr>
          <w:bCs/>
          <w:sz w:val="24"/>
          <w:szCs w:val="20"/>
        </w:rPr>
        <w:t xml:space="preserve"> della tavola, che conferma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non soltanto l’ideazione del ciclo per opera del frate pittore, ma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anche la sua </w:t>
      </w:r>
      <w:r w:rsidRPr="00135236">
        <w:rPr>
          <w:bCs/>
          <w:sz w:val="24"/>
          <w:szCs w:val="20"/>
        </w:rPr>
        <w:lastRenderedPageBreak/>
        <w:t>autografia. Un’autografia da sempre generalmente ammessa,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in particolare per le prime nove storie qui esposte, mentre è stata talvolta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ridimensionata, se non messa in discussione in varia misura, per le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storie rimanenti – in ultimo da Timothy </w:t>
      </w:r>
      <w:proofErr w:type="spellStart"/>
      <w:r w:rsidRPr="00135236">
        <w:rPr>
          <w:bCs/>
          <w:sz w:val="24"/>
          <w:szCs w:val="20"/>
        </w:rPr>
        <w:t>Verdon</w:t>
      </w:r>
      <w:proofErr w:type="spellEnd"/>
      <w:r w:rsidRPr="00135236">
        <w:rPr>
          <w:bCs/>
          <w:sz w:val="24"/>
          <w:szCs w:val="20"/>
        </w:rPr>
        <w:t xml:space="preserve"> –, a parte ovviamente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le tre scene attribuite ad Alesso </w:t>
      </w:r>
      <w:proofErr w:type="spellStart"/>
      <w:r w:rsidRPr="00135236">
        <w:rPr>
          <w:bCs/>
          <w:sz w:val="24"/>
          <w:szCs w:val="20"/>
        </w:rPr>
        <w:t>Baldovinetti</w:t>
      </w:r>
      <w:proofErr w:type="spellEnd"/>
      <w:r w:rsidRPr="00135236">
        <w:rPr>
          <w:bCs/>
          <w:sz w:val="24"/>
          <w:szCs w:val="20"/>
        </w:rPr>
        <w:t xml:space="preserve">, </w:t>
      </w:r>
      <w:r w:rsidRPr="00135236">
        <w:rPr>
          <w:bCs/>
          <w:i/>
          <w:iCs/>
          <w:sz w:val="24"/>
          <w:szCs w:val="20"/>
        </w:rPr>
        <w:t>Nozze di Cana</w:t>
      </w:r>
      <w:r w:rsidRPr="00135236">
        <w:rPr>
          <w:bCs/>
          <w:sz w:val="24"/>
          <w:szCs w:val="20"/>
        </w:rPr>
        <w:t xml:space="preserve">, </w:t>
      </w:r>
      <w:r w:rsidRPr="00135236">
        <w:rPr>
          <w:bCs/>
          <w:i/>
          <w:iCs/>
          <w:sz w:val="24"/>
          <w:szCs w:val="20"/>
        </w:rPr>
        <w:t>Battesimo</w:t>
      </w:r>
      <w:r>
        <w:rPr>
          <w:bCs/>
          <w:i/>
          <w:iCs/>
          <w:sz w:val="24"/>
          <w:szCs w:val="20"/>
        </w:rPr>
        <w:t xml:space="preserve"> </w:t>
      </w:r>
      <w:r w:rsidRPr="00135236">
        <w:rPr>
          <w:bCs/>
          <w:i/>
          <w:iCs/>
          <w:sz w:val="24"/>
          <w:szCs w:val="20"/>
        </w:rPr>
        <w:t xml:space="preserve">di Cristo </w:t>
      </w:r>
      <w:r w:rsidRPr="00135236">
        <w:rPr>
          <w:bCs/>
          <w:sz w:val="24"/>
          <w:szCs w:val="20"/>
        </w:rPr>
        <w:t xml:space="preserve">e </w:t>
      </w:r>
      <w:r w:rsidRPr="00135236">
        <w:rPr>
          <w:bCs/>
          <w:i/>
          <w:iCs/>
          <w:sz w:val="24"/>
          <w:szCs w:val="20"/>
        </w:rPr>
        <w:t>Trasfigurazione</w:t>
      </w:r>
      <w:r w:rsidRPr="00135236">
        <w:rPr>
          <w:bCs/>
          <w:sz w:val="24"/>
          <w:szCs w:val="20"/>
        </w:rPr>
        <w:t>, che tuttavia potrebbero essere state eseguite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sulla base di disegni dell’Angelico.</w:t>
      </w:r>
    </w:p>
    <w:p w14:paraId="4AA6B9C2" w14:textId="3B974CEF" w:rsidR="00135236" w:rsidRPr="007006C2" w:rsidRDefault="00135236" w:rsidP="00135236">
      <w:pPr>
        <w:spacing w:after="120"/>
        <w:jc w:val="both"/>
        <w:rPr>
          <w:bCs/>
          <w:sz w:val="24"/>
          <w:szCs w:val="20"/>
        </w:rPr>
      </w:pPr>
      <w:r w:rsidRPr="00135236">
        <w:rPr>
          <w:bCs/>
          <w:sz w:val="24"/>
          <w:szCs w:val="20"/>
        </w:rPr>
        <w:t>Nei pannelli dell’</w:t>
      </w:r>
      <w:r w:rsidRPr="00135236">
        <w:rPr>
          <w:bCs/>
          <w:i/>
          <w:iCs/>
          <w:sz w:val="24"/>
          <w:szCs w:val="20"/>
        </w:rPr>
        <w:t xml:space="preserve">Armadio degli Argenti </w:t>
      </w:r>
      <w:r w:rsidRPr="00135236">
        <w:rPr>
          <w:bCs/>
          <w:sz w:val="24"/>
          <w:szCs w:val="20"/>
        </w:rPr>
        <w:t>dell’Annunziata la critica ha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giustamente posto in risalto il significato di sublime epitome dell’arte</w:t>
      </w:r>
      <w:r>
        <w:rPr>
          <w:bCs/>
          <w:sz w:val="24"/>
          <w:szCs w:val="20"/>
        </w:rPr>
        <w:t xml:space="preserve"> </w:t>
      </w:r>
      <w:proofErr w:type="spellStart"/>
      <w:r w:rsidRPr="00135236">
        <w:rPr>
          <w:bCs/>
          <w:sz w:val="24"/>
          <w:szCs w:val="20"/>
        </w:rPr>
        <w:t>angelichiana</w:t>
      </w:r>
      <w:proofErr w:type="spellEnd"/>
      <w:r w:rsidRPr="00135236">
        <w:rPr>
          <w:bCs/>
          <w:sz w:val="24"/>
          <w:szCs w:val="20"/>
        </w:rPr>
        <w:t>. Alcune scene infatti ripropongono, mai in maniera ripetitiva,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temi iconografici e soluzioni compositive o formali già adottate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in precedenza dall’artista. La prima scena del pannello in mostra, l’</w:t>
      </w:r>
      <w:r w:rsidRPr="00135236">
        <w:rPr>
          <w:bCs/>
          <w:i/>
          <w:iCs/>
          <w:sz w:val="24"/>
          <w:szCs w:val="20"/>
        </w:rPr>
        <w:t>Annunciazione</w:t>
      </w:r>
      <w:r w:rsidRPr="00135236">
        <w:rPr>
          <w:bCs/>
          <w:sz w:val="24"/>
          <w:szCs w:val="20"/>
        </w:rPr>
        <w:t>,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rinvia certamente in primo luogo al veneratissimo affresco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trecentesco dell’Annunziata a Firenze, ma soprattutto alla celeberrima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i/>
          <w:iCs/>
          <w:sz w:val="24"/>
          <w:szCs w:val="20"/>
        </w:rPr>
        <w:t>Annunciazione</w:t>
      </w:r>
      <w:r w:rsidRPr="00135236">
        <w:rPr>
          <w:bCs/>
          <w:sz w:val="24"/>
          <w:szCs w:val="20"/>
        </w:rPr>
        <w:t xml:space="preserve"> affrescata all’inizio del corridoio dell’ex dormitorio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del vicino convento di San Marco. L’impianto frontale dell’</w:t>
      </w:r>
      <w:r w:rsidRPr="00135236">
        <w:rPr>
          <w:bCs/>
          <w:i/>
          <w:iCs/>
          <w:sz w:val="24"/>
          <w:szCs w:val="20"/>
        </w:rPr>
        <w:t>Adorazione</w:t>
      </w:r>
      <w:r>
        <w:rPr>
          <w:bCs/>
          <w:i/>
          <w:iCs/>
          <w:sz w:val="24"/>
          <w:szCs w:val="20"/>
        </w:rPr>
        <w:t xml:space="preserve"> </w:t>
      </w:r>
      <w:r w:rsidRPr="00135236">
        <w:rPr>
          <w:bCs/>
          <w:i/>
          <w:iCs/>
          <w:sz w:val="24"/>
          <w:szCs w:val="20"/>
        </w:rPr>
        <w:t xml:space="preserve">dei Magi </w:t>
      </w:r>
      <w:r w:rsidRPr="00135236">
        <w:rPr>
          <w:bCs/>
          <w:sz w:val="24"/>
          <w:szCs w:val="20"/>
        </w:rPr>
        <w:t>ripropone quello analogo nella predella dell’</w:t>
      </w:r>
      <w:r w:rsidRPr="00135236">
        <w:rPr>
          <w:bCs/>
          <w:i/>
          <w:iCs/>
          <w:sz w:val="24"/>
          <w:szCs w:val="20"/>
        </w:rPr>
        <w:t>Annunciazione</w:t>
      </w:r>
      <w:r>
        <w:rPr>
          <w:bCs/>
          <w:i/>
          <w:i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del Museo del Prado a Madrid e della cella numero 5 dell’ex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dormitorio di San Marco; o ancora, il </w:t>
      </w:r>
      <w:r w:rsidRPr="00135236">
        <w:rPr>
          <w:bCs/>
          <w:i/>
          <w:iCs/>
          <w:sz w:val="24"/>
          <w:szCs w:val="20"/>
        </w:rPr>
        <w:t xml:space="preserve">Cristo nell’orto </w:t>
      </w:r>
      <w:r w:rsidRPr="00135236">
        <w:rPr>
          <w:bCs/>
          <w:sz w:val="24"/>
          <w:szCs w:val="20"/>
        </w:rPr>
        <w:t>del secondo quadrante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dell’</w:t>
      </w:r>
      <w:r w:rsidRPr="00135236">
        <w:rPr>
          <w:bCs/>
          <w:i/>
          <w:iCs/>
          <w:sz w:val="24"/>
          <w:szCs w:val="20"/>
        </w:rPr>
        <w:t xml:space="preserve">Armadio </w:t>
      </w:r>
      <w:r w:rsidRPr="00135236">
        <w:rPr>
          <w:bCs/>
          <w:sz w:val="24"/>
          <w:szCs w:val="20"/>
        </w:rPr>
        <w:t>rinvia, in senso orizzontale anziché in verticale, alla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tavoletta giovanile d’identico soggetto della Pinacoteca di Forlì. Questa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altissima sintesi riepilogativa potrebbe apparire quasi naturale, ma in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realtà così non è. Al contrario, è abbastanza inconsueto che alla fine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della carriera, e in questo caso anche a poco tempo dalla morte – i pannelli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furono completati probabilmente entro il 1452 –, un artista riesca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a trasmettere una sorta di vero e proprio testamento, sia artistico che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spirituale, di tale intensità e, soprattutto, di livello qualitativo sublime.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 xml:space="preserve">Un’altra scena del terzo quadrante quale la </w:t>
      </w:r>
      <w:r w:rsidRPr="00135236">
        <w:rPr>
          <w:bCs/>
          <w:i/>
          <w:iCs/>
          <w:sz w:val="24"/>
          <w:szCs w:val="20"/>
        </w:rPr>
        <w:t>Flagellazione di Cristo</w:t>
      </w:r>
      <w:r w:rsidRPr="00135236">
        <w:rPr>
          <w:bCs/>
          <w:sz w:val="24"/>
          <w:szCs w:val="20"/>
        </w:rPr>
        <w:t>, risulta a mio avviso, dal punto di vista squisitamente compositivo 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formale, una delle più alte in senso assoluto. All’interno della scatola spaziale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di fonte giottesca – cui l’Angelico attinge in varie occasioni e con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straordinaria perspicuità e consapevolezza – l’artista fa filtrare e distribuisce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mirabilmente la luce dall’indimenticabile porticina aperta sulla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sinistra, subito dopo il ringrosso della parete, esattamente simmetrico a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quello sulla parete opposta, in modo tale che le scatole spaziali sono in</w:t>
      </w:r>
      <w:r>
        <w:rPr>
          <w:bCs/>
          <w:sz w:val="24"/>
          <w:szCs w:val="20"/>
        </w:rPr>
        <w:t xml:space="preserve"> </w:t>
      </w:r>
      <w:r w:rsidRPr="00135236">
        <w:rPr>
          <w:bCs/>
          <w:sz w:val="24"/>
          <w:szCs w:val="20"/>
        </w:rPr>
        <w:t>realtà due, l’una inserita nell’altra.</w:t>
      </w:r>
    </w:p>
    <w:p w14:paraId="17A2B306" w14:textId="77777777" w:rsidR="007006C2" w:rsidRPr="007006C2" w:rsidRDefault="007006C2" w:rsidP="007006C2">
      <w:pPr>
        <w:spacing w:after="0"/>
        <w:jc w:val="both"/>
        <w:rPr>
          <w:bCs/>
          <w:sz w:val="24"/>
          <w:szCs w:val="20"/>
        </w:rPr>
      </w:pPr>
    </w:p>
    <w:p w14:paraId="5F018DB5" w14:textId="664D5A5A" w:rsidR="005D4E74" w:rsidRDefault="005D4E74" w:rsidP="005D4E74">
      <w:pPr>
        <w:spacing w:after="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Milano, 27 ottobre 2023</w:t>
      </w:r>
    </w:p>
    <w:p w14:paraId="2E9C51BA" w14:textId="3DF81D32" w:rsidR="003D3261" w:rsidRDefault="003D3261" w:rsidP="005D4E74">
      <w:pPr>
        <w:spacing w:after="0"/>
        <w:jc w:val="both"/>
        <w:rPr>
          <w:bCs/>
          <w:sz w:val="24"/>
          <w:szCs w:val="20"/>
        </w:rPr>
      </w:pPr>
    </w:p>
    <w:p w14:paraId="7284CBB8" w14:textId="281FC821" w:rsidR="003D3261" w:rsidRPr="003D3261" w:rsidRDefault="003D3261" w:rsidP="005D4E74">
      <w:pPr>
        <w:spacing w:after="0"/>
        <w:jc w:val="both"/>
        <w:rPr>
          <w:b/>
          <w:sz w:val="24"/>
          <w:szCs w:val="20"/>
        </w:rPr>
      </w:pPr>
      <w:r w:rsidRPr="003D3261">
        <w:rPr>
          <w:b/>
          <w:sz w:val="24"/>
          <w:szCs w:val="20"/>
        </w:rPr>
        <w:t xml:space="preserve">* Estratto dal testo in catalogo Dario </w:t>
      </w:r>
      <w:proofErr w:type="spellStart"/>
      <w:r w:rsidRPr="003D3261">
        <w:rPr>
          <w:b/>
          <w:sz w:val="24"/>
          <w:szCs w:val="20"/>
        </w:rPr>
        <w:t>Cimorelli</w:t>
      </w:r>
      <w:proofErr w:type="spellEnd"/>
      <w:r w:rsidRPr="003D3261">
        <w:rPr>
          <w:b/>
          <w:sz w:val="24"/>
          <w:szCs w:val="20"/>
        </w:rPr>
        <w:t xml:space="preserve"> editore</w:t>
      </w:r>
    </w:p>
    <w:sectPr w:rsidR="003D3261" w:rsidRPr="003D3261" w:rsidSect="005D4E74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FEB17" w14:textId="77777777" w:rsidR="008443A9" w:rsidRDefault="008443A9" w:rsidP="0033065B">
      <w:pPr>
        <w:spacing w:after="0" w:line="240" w:lineRule="auto"/>
      </w:pPr>
      <w:r>
        <w:separator/>
      </w:r>
    </w:p>
  </w:endnote>
  <w:endnote w:type="continuationSeparator" w:id="0">
    <w:p w14:paraId="00B54E8A" w14:textId="77777777" w:rsidR="008443A9" w:rsidRDefault="008443A9" w:rsidP="0033065B">
      <w:pPr>
        <w:spacing w:after="0" w:line="240" w:lineRule="auto"/>
      </w:pPr>
      <w:r>
        <w:continuationSeparator/>
      </w:r>
    </w:p>
  </w:endnote>
  <w:endnote w:type="continuationNotice" w:id="1">
    <w:p w14:paraId="028430EA" w14:textId="77777777" w:rsidR="008443A9" w:rsidRDefault="00844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F9C1" w14:textId="77777777" w:rsidR="00550242" w:rsidRDefault="00550242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C973" w14:textId="3EE1DD51" w:rsidR="00323965" w:rsidRDefault="00023B1E">
    <w:pPr>
      <w:pStyle w:val="Pidipagina"/>
    </w:pPr>
    <w:r>
      <w:rPr>
        <w:noProof/>
      </w:rPr>
      <w:drawing>
        <wp:inline distT="0" distB="0" distL="0" distR="0" wp14:anchorId="79F444C3" wp14:editId="2EBBD089">
          <wp:extent cx="6120130" cy="1458595"/>
          <wp:effectExtent l="0" t="0" r="0" b="8255"/>
          <wp:docPr id="25" name="Immagine 25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schermata, Carattere, line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13B0" w14:textId="77777777" w:rsidR="008443A9" w:rsidRDefault="008443A9" w:rsidP="0033065B">
      <w:pPr>
        <w:spacing w:after="0" w:line="240" w:lineRule="auto"/>
      </w:pPr>
      <w:r>
        <w:separator/>
      </w:r>
    </w:p>
  </w:footnote>
  <w:footnote w:type="continuationSeparator" w:id="0">
    <w:p w14:paraId="7836DA43" w14:textId="77777777" w:rsidR="008443A9" w:rsidRDefault="008443A9" w:rsidP="0033065B">
      <w:pPr>
        <w:spacing w:after="0" w:line="240" w:lineRule="auto"/>
      </w:pPr>
      <w:r>
        <w:continuationSeparator/>
      </w:r>
    </w:p>
  </w:footnote>
  <w:footnote w:type="continuationNotice" w:id="1">
    <w:p w14:paraId="659AD6B1" w14:textId="77777777" w:rsidR="008443A9" w:rsidRDefault="008443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011A" w14:textId="20EDA337" w:rsidR="002873E1" w:rsidRDefault="00023B1E" w:rsidP="00023B1E">
    <w:pPr>
      <w:pStyle w:val="Intestazione"/>
      <w:ind w:left="-567"/>
    </w:pPr>
    <w:r>
      <w:rPr>
        <w:noProof/>
      </w:rPr>
      <w:drawing>
        <wp:inline distT="0" distB="0" distL="0" distR="0" wp14:anchorId="579B2ADA" wp14:editId="7F8C238E">
          <wp:extent cx="6699433" cy="1596659"/>
          <wp:effectExtent l="0" t="0" r="6350" b="3810"/>
          <wp:docPr id="24" name="Immagine 24" descr="Immagine che contiene testo, Danza, schermata, vestit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magine 37" descr="Immagine che contiene testo, Danza, schermata, vestiti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4567" cy="1605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2FD8"/>
    <w:rsid w:val="00017169"/>
    <w:rsid w:val="00023B1E"/>
    <w:rsid w:val="00045920"/>
    <w:rsid w:val="00056358"/>
    <w:rsid w:val="000B080D"/>
    <w:rsid w:val="000C3FBB"/>
    <w:rsid w:val="00107AE6"/>
    <w:rsid w:val="00117E57"/>
    <w:rsid w:val="0013097B"/>
    <w:rsid w:val="00135236"/>
    <w:rsid w:val="00146A79"/>
    <w:rsid w:val="001708F2"/>
    <w:rsid w:val="001762BE"/>
    <w:rsid w:val="001B1E78"/>
    <w:rsid w:val="001C19AD"/>
    <w:rsid w:val="00210C7E"/>
    <w:rsid w:val="002162C9"/>
    <w:rsid w:val="0022733E"/>
    <w:rsid w:val="00234D4B"/>
    <w:rsid w:val="00236AB1"/>
    <w:rsid w:val="00245961"/>
    <w:rsid w:val="002605E8"/>
    <w:rsid w:val="00266A63"/>
    <w:rsid w:val="002873E1"/>
    <w:rsid w:val="002A2158"/>
    <w:rsid w:val="002A69FF"/>
    <w:rsid w:val="002E3E17"/>
    <w:rsid w:val="002E7818"/>
    <w:rsid w:val="002F5B5B"/>
    <w:rsid w:val="003227CF"/>
    <w:rsid w:val="00323965"/>
    <w:rsid w:val="0033065B"/>
    <w:rsid w:val="00341324"/>
    <w:rsid w:val="00356B24"/>
    <w:rsid w:val="00357FD9"/>
    <w:rsid w:val="00374CD0"/>
    <w:rsid w:val="003B49E9"/>
    <w:rsid w:val="003D3261"/>
    <w:rsid w:val="004003B8"/>
    <w:rsid w:val="00410E4E"/>
    <w:rsid w:val="004121C0"/>
    <w:rsid w:val="004179EA"/>
    <w:rsid w:val="00422053"/>
    <w:rsid w:val="00424525"/>
    <w:rsid w:val="00441962"/>
    <w:rsid w:val="00443217"/>
    <w:rsid w:val="004454B4"/>
    <w:rsid w:val="00450244"/>
    <w:rsid w:val="00471B5C"/>
    <w:rsid w:val="00486A28"/>
    <w:rsid w:val="004C3D4E"/>
    <w:rsid w:val="004C3FD8"/>
    <w:rsid w:val="004C417F"/>
    <w:rsid w:val="004C4E6B"/>
    <w:rsid w:val="004C6206"/>
    <w:rsid w:val="004D0A1F"/>
    <w:rsid w:val="004F6D19"/>
    <w:rsid w:val="00521439"/>
    <w:rsid w:val="005250EF"/>
    <w:rsid w:val="00543BE2"/>
    <w:rsid w:val="00550242"/>
    <w:rsid w:val="0055118C"/>
    <w:rsid w:val="0056507F"/>
    <w:rsid w:val="005A1C26"/>
    <w:rsid w:val="005A6C4B"/>
    <w:rsid w:val="005D4E74"/>
    <w:rsid w:val="005E117A"/>
    <w:rsid w:val="005E2108"/>
    <w:rsid w:val="005E27CA"/>
    <w:rsid w:val="005F7228"/>
    <w:rsid w:val="00633A91"/>
    <w:rsid w:val="00672F97"/>
    <w:rsid w:val="00673559"/>
    <w:rsid w:val="006941F7"/>
    <w:rsid w:val="00696165"/>
    <w:rsid w:val="006B2397"/>
    <w:rsid w:val="006B6367"/>
    <w:rsid w:val="006D19D6"/>
    <w:rsid w:val="006E1689"/>
    <w:rsid w:val="006E571D"/>
    <w:rsid w:val="006E6026"/>
    <w:rsid w:val="006F2D7B"/>
    <w:rsid w:val="006F31D9"/>
    <w:rsid w:val="006F64CC"/>
    <w:rsid w:val="006F7D8C"/>
    <w:rsid w:val="007006C2"/>
    <w:rsid w:val="00707BE2"/>
    <w:rsid w:val="007203D2"/>
    <w:rsid w:val="00722E82"/>
    <w:rsid w:val="00743BFD"/>
    <w:rsid w:val="00746821"/>
    <w:rsid w:val="00750C1A"/>
    <w:rsid w:val="0078688B"/>
    <w:rsid w:val="007A26EE"/>
    <w:rsid w:val="007A399E"/>
    <w:rsid w:val="007B2309"/>
    <w:rsid w:val="007F7143"/>
    <w:rsid w:val="007F7A9D"/>
    <w:rsid w:val="00813FEC"/>
    <w:rsid w:val="0082097F"/>
    <w:rsid w:val="00840703"/>
    <w:rsid w:val="008443A9"/>
    <w:rsid w:val="00857A6E"/>
    <w:rsid w:val="00862600"/>
    <w:rsid w:val="00870C61"/>
    <w:rsid w:val="0087354D"/>
    <w:rsid w:val="00881420"/>
    <w:rsid w:val="008A420D"/>
    <w:rsid w:val="008A6CE1"/>
    <w:rsid w:val="008B10FA"/>
    <w:rsid w:val="008C0697"/>
    <w:rsid w:val="008F11EF"/>
    <w:rsid w:val="008F661A"/>
    <w:rsid w:val="00957ED1"/>
    <w:rsid w:val="00966661"/>
    <w:rsid w:val="009A7A76"/>
    <w:rsid w:val="009C3A6A"/>
    <w:rsid w:val="009D1091"/>
    <w:rsid w:val="009D142C"/>
    <w:rsid w:val="009E15C6"/>
    <w:rsid w:val="009F4517"/>
    <w:rsid w:val="009F4646"/>
    <w:rsid w:val="00A03075"/>
    <w:rsid w:val="00A118CD"/>
    <w:rsid w:val="00A24225"/>
    <w:rsid w:val="00A40DC0"/>
    <w:rsid w:val="00A54FE7"/>
    <w:rsid w:val="00A65ED9"/>
    <w:rsid w:val="00A7006B"/>
    <w:rsid w:val="00AA19FC"/>
    <w:rsid w:val="00AE5A0B"/>
    <w:rsid w:val="00AF1768"/>
    <w:rsid w:val="00AF19A2"/>
    <w:rsid w:val="00B02082"/>
    <w:rsid w:val="00B148D0"/>
    <w:rsid w:val="00B1662E"/>
    <w:rsid w:val="00B22760"/>
    <w:rsid w:val="00B26C53"/>
    <w:rsid w:val="00B32EBE"/>
    <w:rsid w:val="00B3639E"/>
    <w:rsid w:val="00B37DA5"/>
    <w:rsid w:val="00B37F82"/>
    <w:rsid w:val="00B40748"/>
    <w:rsid w:val="00B451E5"/>
    <w:rsid w:val="00B77CBD"/>
    <w:rsid w:val="00B844B2"/>
    <w:rsid w:val="00B94073"/>
    <w:rsid w:val="00B9452C"/>
    <w:rsid w:val="00B953AB"/>
    <w:rsid w:val="00BA2A79"/>
    <w:rsid w:val="00BA2F3A"/>
    <w:rsid w:val="00BB25A5"/>
    <w:rsid w:val="00BB379D"/>
    <w:rsid w:val="00BD5D6E"/>
    <w:rsid w:val="00BE4A41"/>
    <w:rsid w:val="00BE5F4D"/>
    <w:rsid w:val="00C0727D"/>
    <w:rsid w:val="00C12D3B"/>
    <w:rsid w:val="00C16852"/>
    <w:rsid w:val="00C21257"/>
    <w:rsid w:val="00C40A97"/>
    <w:rsid w:val="00C70ACC"/>
    <w:rsid w:val="00CA5101"/>
    <w:rsid w:val="00CA51C0"/>
    <w:rsid w:val="00CB2464"/>
    <w:rsid w:val="00CD43AB"/>
    <w:rsid w:val="00D02453"/>
    <w:rsid w:val="00D1486A"/>
    <w:rsid w:val="00D205DE"/>
    <w:rsid w:val="00D33F2C"/>
    <w:rsid w:val="00D61DF8"/>
    <w:rsid w:val="00D85D7A"/>
    <w:rsid w:val="00DE09AD"/>
    <w:rsid w:val="00DE5EEC"/>
    <w:rsid w:val="00DF1DE2"/>
    <w:rsid w:val="00DF24D1"/>
    <w:rsid w:val="00E0509B"/>
    <w:rsid w:val="00E311FC"/>
    <w:rsid w:val="00E47F0B"/>
    <w:rsid w:val="00E730FE"/>
    <w:rsid w:val="00E90892"/>
    <w:rsid w:val="00EA1102"/>
    <w:rsid w:val="00EA17B2"/>
    <w:rsid w:val="00EB7940"/>
    <w:rsid w:val="00ED3505"/>
    <w:rsid w:val="00EF3C3F"/>
    <w:rsid w:val="00F02C26"/>
    <w:rsid w:val="00F131BD"/>
    <w:rsid w:val="00F32EB3"/>
    <w:rsid w:val="00F33450"/>
    <w:rsid w:val="00F42BF5"/>
    <w:rsid w:val="00F463B3"/>
    <w:rsid w:val="00F60206"/>
    <w:rsid w:val="00F80B37"/>
    <w:rsid w:val="00F83E84"/>
    <w:rsid w:val="00F911B1"/>
    <w:rsid w:val="00FA0586"/>
    <w:rsid w:val="00FC13A1"/>
    <w:rsid w:val="00FD602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52463B"/>
  <w15:docId w15:val="{2CFCEDC7-E4A9-4112-8D9F-2FE25E55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33450"/>
    <w:rPr>
      <w:rFonts w:cs="Times New Roman"/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rsid w:val="00B32EB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2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D734F1-7FD8-4CE4-B3C8-F96DDB139F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B2390F-224C-420B-88B8-8E3C27CBD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F83C8-6975-4633-A113-D59898D85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836585-98F7-476B-BABE-6F3A5A2F057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- MUSEO DIOCESANO CARLO MARIA MARTINI</vt:lpstr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- MUSEO DIOCESANO CARLO MARIA MARTINI</dc:title>
  <dc:subject/>
  <dc:creator>Carlo</dc:creator>
  <cp:keywords/>
  <dc:description/>
  <cp:lastModifiedBy>Carlo Ghielmetti</cp:lastModifiedBy>
  <cp:revision>3</cp:revision>
  <cp:lastPrinted>2023-10-23T07:08:00Z</cp:lastPrinted>
  <dcterms:created xsi:type="dcterms:W3CDTF">2023-10-23T08:24:00Z</dcterms:created>
  <dcterms:modified xsi:type="dcterms:W3CDTF">2023-10-23T10:31:00Z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2021-10-28T09:47:25Z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49b47b35-9d81-4d03-a1e7-e7c26cf72158</vt:lpwstr>
  </property>
  <property fmtid="{D5CDD505-2E9C-101B-9397-08002B2CF9AE}" pid="8" name="MSIP_Label_5f5fe31f-9de1-4167-a753-111c0df8115f_ContentBits">
    <vt:lpwstr>0</vt:lpwstr>
  </property>
  <property fmtid="{D5CDD505-2E9C-101B-9397-08002B2CF9AE}" pid="9" name="ContentTypeId">
    <vt:lpwstr>0x010100CEE2951FC9A8954D98E2686339B094D3</vt:lpwstr>
  </property>
  <property fmtid="{D5CDD505-2E9C-101B-9397-08002B2CF9AE}" pid="10" name="MediaServiceImageTags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</Properties>
</file>